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F1FF" w14:textId="77777777" w:rsidR="001D0E3D" w:rsidRPr="009027B5" w:rsidRDefault="001D0E3D" w:rsidP="00865666">
      <w:pPr>
        <w:rPr>
          <w:rFonts w:ascii="Marianne" w:hAnsi="Marianne"/>
          <w:sz w:val="20"/>
          <w:szCs w:val="20"/>
        </w:rPr>
        <w:sectPr w:rsidR="001D0E3D" w:rsidRPr="009027B5" w:rsidSect="00BA50E6">
          <w:headerReference w:type="default" r:id="rId8"/>
          <w:footerReference w:type="even" r:id="rId9"/>
          <w:footerReference w:type="default" r:id="rId10"/>
          <w:pgSz w:w="11910" w:h="16840"/>
          <w:pgMar w:top="961" w:right="964" w:bottom="964" w:left="964" w:header="284" w:footer="0" w:gutter="0"/>
          <w:pgNumType w:start="1"/>
          <w:cols w:space="720"/>
          <w:docGrid w:linePitch="299"/>
        </w:sectPr>
      </w:pPr>
    </w:p>
    <w:p w14:paraId="177AF886" w14:textId="77777777" w:rsidR="00BA50E6" w:rsidRDefault="00BA50E6" w:rsidP="009027B5">
      <w:pPr>
        <w:adjustRightInd w:val="0"/>
        <w:ind w:right="-1781"/>
        <w:jc w:val="both"/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</w:pPr>
    </w:p>
    <w:p w14:paraId="641E801A" w14:textId="009C1D23" w:rsidR="009027B5" w:rsidRPr="00BA50E6" w:rsidRDefault="009027B5" w:rsidP="009027B5">
      <w:pPr>
        <w:adjustRightInd w:val="0"/>
        <w:ind w:right="-1781"/>
        <w:jc w:val="both"/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</w:pPr>
      <w:r w:rsidRPr="00530640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>Pôle Cohésion Sociale, Formation,</w:t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 w:rsidRPr="00BA50E6">
        <w:rPr>
          <w:rFonts w:ascii="Marianne" w:hAnsi="Marianne" w:cstheme="majorHAnsi"/>
          <w:b/>
          <w:bCs/>
          <w:color w:val="000000"/>
          <w:sz w:val="20"/>
          <w:szCs w:val="20"/>
          <w:u w:val="single"/>
          <w:lang w:val="fr-FR"/>
        </w:rPr>
        <w:t>Nom</w:t>
      </w:r>
      <w:r w:rsidR="00BA50E6" w:rsidRP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 xml:space="preserve"> : </w:t>
      </w:r>
      <w:r w:rsid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>………………………………………………………………</w:t>
      </w:r>
      <w:proofErr w:type="gramStart"/>
      <w:r w:rsid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>…….</w:t>
      </w:r>
      <w:proofErr w:type="gramEnd"/>
      <w:r w:rsid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>.</w:t>
      </w:r>
    </w:p>
    <w:p w14:paraId="012555B1" w14:textId="441758DF" w:rsidR="009027B5" w:rsidRPr="00530640" w:rsidRDefault="009027B5" w:rsidP="009027B5">
      <w:pPr>
        <w:jc w:val="both"/>
        <w:rPr>
          <w:rFonts w:ascii="Marianne" w:hAnsi="Marianne" w:cstheme="majorHAnsi"/>
          <w:sz w:val="16"/>
          <w:szCs w:val="16"/>
          <w:lang w:val="fr-FR"/>
        </w:rPr>
      </w:pPr>
      <w:r w:rsidRPr="00530640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>Certification</w:t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b/>
          <w:bCs/>
          <w:color w:val="000000"/>
          <w:sz w:val="16"/>
          <w:szCs w:val="16"/>
          <w:lang w:val="fr-FR"/>
        </w:rPr>
        <w:tab/>
      </w:r>
      <w:r w:rsidR="00BA50E6" w:rsidRPr="00BA50E6">
        <w:rPr>
          <w:rFonts w:ascii="Marianne" w:hAnsi="Marianne" w:cstheme="majorHAnsi"/>
          <w:b/>
          <w:bCs/>
          <w:color w:val="000000"/>
          <w:sz w:val="20"/>
          <w:szCs w:val="20"/>
          <w:u w:val="single"/>
          <w:lang w:val="fr-FR"/>
        </w:rPr>
        <w:t>Prénom</w:t>
      </w:r>
      <w:r w:rsidR="00BA50E6" w:rsidRP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> :</w:t>
      </w:r>
      <w:r w:rsid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 xml:space="preserve"> …………………………………………………………</w:t>
      </w:r>
      <w:proofErr w:type="gramStart"/>
      <w:r w:rsid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>…….</w:t>
      </w:r>
      <w:proofErr w:type="gramEnd"/>
      <w:r w:rsidR="00BA50E6">
        <w:rPr>
          <w:rFonts w:ascii="Marianne" w:hAnsi="Marianne" w:cstheme="majorHAnsi"/>
          <w:b/>
          <w:bCs/>
          <w:color w:val="000000"/>
          <w:sz w:val="20"/>
          <w:szCs w:val="20"/>
          <w:lang w:val="fr-FR"/>
        </w:rPr>
        <w:t>.</w:t>
      </w:r>
    </w:p>
    <w:p w14:paraId="10551E87" w14:textId="602B8628" w:rsidR="009027B5" w:rsidRPr="00530640" w:rsidRDefault="009027B5" w:rsidP="009027B5">
      <w:pPr>
        <w:jc w:val="both"/>
        <w:rPr>
          <w:rFonts w:ascii="Marianne" w:hAnsi="Marianne" w:cstheme="majorHAnsi"/>
          <w:sz w:val="16"/>
          <w:szCs w:val="16"/>
          <w:lang w:val="fr-FR"/>
        </w:rPr>
      </w:pPr>
      <w:r w:rsidRPr="00530640">
        <w:rPr>
          <w:rFonts w:ascii="Marianne" w:hAnsi="Marianne" w:cstheme="majorHAnsi"/>
          <w:sz w:val="16"/>
          <w:szCs w:val="16"/>
          <w:lang w:val="fr-FR"/>
        </w:rPr>
        <w:t xml:space="preserve">Affaire suivie par : </w:t>
      </w:r>
      <w:r w:rsidR="00BA50E6">
        <w:rPr>
          <w:rFonts w:ascii="Marianne" w:hAnsi="Marianne" w:cstheme="majorHAnsi"/>
          <w:sz w:val="16"/>
          <w:szCs w:val="16"/>
          <w:lang w:val="fr-FR"/>
        </w:rPr>
        <w:t>Claudine Mauduit</w:t>
      </w:r>
      <w:r w:rsidR="00BA50E6">
        <w:rPr>
          <w:rFonts w:ascii="Marianne" w:hAnsi="Marianne" w:cstheme="majorHAnsi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sz w:val="16"/>
          <w:szCs w:val="16"/>
          <w:lang w:val="fr-FR"/>
        </w:rPr>
        <w:tab/>
      </w:r>
      <w:r w:rsidR="00BA50E6">
        <w:rPr>
          <w:rFonts w:ascii="Marianne" w:hAnsi="Marianne" w:cstheme="majorHAnsi"/>
          <w:sz w:val="16"/>
          <w:szCs w:val="16"/>
          <w:lang w:val="fr-FR"/>
        </w:rPr>
        <w:tab/>
      </w:r>
      <w:r w:rsidR="00BA50E6" w:rsidRPr="00BA50E6">
        <w:rPr>
          <w:rFonts w:ascii="Marianne" w:hAnsi="Marianne" w:cstheme="majorHAnsi"/>
          <w:b/>
          <w:bCs/>
          <w:sz w:val="20"/>
          <w:szCs w:val="20"/>
          <w:u w:val="single"/>
          <w:lang w:val="fr-FR"/>
        </w:rPr>
        <w:t>Date et lieu de naissance</w:t>
      </w:r>
      <w:r w:rsidR="00BA50E6">
        <w:rPr>
          <w:rFonts w:ascii="Marianne" w:hAnsi="Marianne" w:cstheme="majorHAnsi"/>
          <w:sz w:val="16"/>
          <w:szCs w:val="16"/>
          <w:lang w:val="fr-FR"/>
        </w:rPr>
        <w:t xml:space="preserve"> : </w:t>
      </w:r>
      <w:r w:rsidR="00BA50E6" w:rsidRPr="00BA50E6">
        <w:rPr>
          <w:rFonts w:ascii="Marianne" w:hAnsi="Marianne" w:cstheme="majorHAnsi"/>
          <w:b/>
          <w:bCs/>
          <w:sz w:val="16"/>
          <w:szCs w:val="16"/>
          <w:lang w:val="fr-FR"/>
        </w:rPr>
        <w:t>……………………………………………</w:t>
      </w:r>
      <w:r w:rsidR="00BA50E6">
        <w:rPr>
          <w:rFonts w:ascii="Marianne" w:hAnsi="Marianne" w:cstheme="majorHAnsi"/>
          <w:b/>
          <w:bCs/>
          <w:sz w:val="16"/>
          <w:szCs w:val="16"/>
          <w:lang w:val="fr-FR"/>
        </w:rPr>
        <w:t>.</w:t>
      </w:r>
    </w:p>
    <w:p w14:paraId="2C80CF80" w14:textId="4D8D3485" w:rsidR="009027B5" w:rsidRPr="00530640" w:rsidRDefault="009027B5" w:rsidP="009027B5">
      <w:pPr>
        <w:jc w:val="both"/>
        <w:rPr>
          <w:rFonts w:ascii="Marianne" w:hAnsi="Marianne" w:cstheme="majorHAnsi"/>
          <w:sz w:val="16"/>
          <w:szCs w:val="16"/>
          <w:lang w:val="fr-FR"/>
        </w:rPr>
      </w:pPr>
      <w:r>
        <w:rPr>
          <w:rFonts w:ascii="Marianne" w:hAnsi="Marianne" w:cstheme="majorHAnsi"/>
          <w:sz w:val="16"/>
          <w:szCs w:val="16"/>
          <w:lang w:val="fr-FR"/>
        </w:rPr>
        <w:t xml:space="preserve">Tél : </w:t>
      </w:r>
      <w:r w:rsidR="00BA50E6">
        <w:rPr>
          <w:rFonts w:ascii="Marianne" w:hAnsi="Marianne" w:cstheme="majorHAnsi"/>
          <w:sz w:val="16"/>
          <w:szCs w:val="16"/>
          <w:lang w:val="fr-FR"/>
        </w:rPr>
        <w:t>02 57 21 00 55</w:t>
      </w:r>
    </w:p>
    <w:p w14:paraId="64A53827" w14:textId="3AB92ED1" w:rsidR="009027B5" w:rsidRDefault="00BA50E6" w:rsidP="009027B5">
      <w:pPr>
        <w:jc w:val="both"/>
        <w:rPr>
          <w:rFonts w:ascii="Marianne" w:hAnsi="Marianne" w:cstheme="majorHAnsi"/>
          <w:sz w:val="16"/>
          <w:szCs w:val="16"/>
          <w:lang w:val="fr-FR"/>
        </w:rPr>
      </w:pPr>
      <w:r>
        <w:rPr>
          <w:rFonts w:ascii="Marianne" w:hAnsi="Marianne" w:cstheme="majorHAnsi"/>
          <w:sz w:val="16"/>
          <w:szCs w:val="16"/>
          <w:lang w:val="fr-FR"/>
        </w:rPr>
        <w:t>C</w:t>
      </w:r>
      <w:r w:rsidR="009027B5" w:rsidRPr="00530640">
        <w:rPr>
          <w:rFonts w:ascii="Marianne" w:hAnsi="Marianne" w:cstheme="majorHAnsi"/>
          <w:sz w:val="16"/>
          <w:szCs w:val="16"/>
          <w:lang w:val="fr-FR"/>
        </w:rPr>
        <w:t xml:space="preserve">ourriel : </w:t>
      </w:r>
      <w:hyperlink r:id="rId11" w:history="1">
        <w:r w:rsidRPr="005F20E5">
          <w:rPr>
            <w:rStyle w:val="Lienhypertexte"/>
            <w:rFonts w:ascii="Marianne" w:hAnsi="Marianne" w:cstheme="majorHAnsi"/>
            <w:sz w:val="16"/>
            <w:szCs w:val="16"/>
            <w:lang w:val="fr-FR"/>
          </w:rPr>
          <w:t>claudine.mauduit@dreets.gouv.fr</w:t>
        </w:r>
      </w:hyperlink>
    </w:p>
    <w:p w14:paraId="78E10F12" w14:textId="77777777" w:rsidR="00BA50E6" w:rsidRPr="00530640" w:rsidRDefault="00BA50E6" w:rsidP="009027B5">
      <w:pPr>
        <w:jc w:val="both"/>
        <w:rPr>
          <w:rFonts w:ascii="Marianne" w:hAnsi="Marianne" w:cstheme="majorHAnsi"/>
          <w:sz w:val="16"/>
          <w:szCs w:val="16"/>
          <w:lang w:val="fr-FR"/>
        </w:rPr>
      </w:pPr>
    </w:p>
    <w:p w14:paraId="144B9BC0" w14:textId="047B2140" w:rsidR="000408C1" w:rsidRPr="00BA50E6" w:rsidRDefault="009027B5" w:rsidP="009027B5">
      <w:pPr>
        <w:spacing w:line="360" w:lineRule="auto"/>
        <w:jc w:val="both"/>
        <w:rPr>
          <w:rFonts w:ascii="Marianne" w:hAnsi="Marianne"/>
          <w:noProof/>
          <w:sz w:val="20"/>
          <w:szCs w:val="20"/>
          <w:lang w:val="fr-FR"/>
        </w:rPr>
      </w:pPr>
      <w:r>
        <w:rPr>
          <w:rFonts w:ascii="Marianne" w:hAnsi="Marianne" w:cstheme="majorHAnsi"/>
          <w:sz w:val="16"/>
          <w:szCs w:val="16"/>
          <w:lang w:val="fr-FR"/>
        </w:rPr>
        <w:tab/>
      </w:r>
      <w:r>
        <w:rPr>
          <w:rFonts w:ascii="Marianne" w:hAnsi="Marianne" w:cstheme="majorHAnsi"/>
          <w:sz w:val="16"/>
          <w:szCs w:val="16"/>
          <w:lang w:val="fr-FR"/>
        </w:rPr>
        <w:tab/>
      </w:r>
      <w:r>
        <w:rPr>
          <w:rFonts w:ascii="Marianne" w:hAnsi="Marianne" w:cstheme="majorHAnsi"/>
          <w:sz w:val="16"/>
          <w:szCs w:val="16"/>
          <w:lang w:val="fr-FR"/>
        </w:rPr>
        <w:tab/>
      </w:r>
      <w:r>
        <w:rPr>
          <w:rFonts w:ascii="Marianne" w:hAnsi="Marianne" w:cstheme="majorHAnsi"/>
          <w:sz w:val="16"/>
          <w:szCs w:val="16"/>
          <w:lang w:val="fr-FR"/>
        </w:rPr>
        <w:tab/>
      </w:r>
      <w:r w:rsidR="00D33D0A" w:rsidRPr="00BA50E6">
        <w:rPr>
          <w:rFonts w:ascii="Marianne" w:hAnsi="Marianne"/>
          <w:noProof/>
          <w:sz w:val="20"/>
          <w:szCs w:val="20"/>
          <w:lang w:val="fr-FR"/>
        </w:rPr>
        <w:t xml:space="preserve"> </w:t>
      </w:r>
    </w:p>
    <w:tbl>
      <w:tblPr>
        <w:tblW w:w="1451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4"/>
        <w:gridCol w:w="4240"/>
      </w:tblGrid>
      <w:tr w:rsidR="000408C1" w:rsidRPr="00BA50E6" w14:paraId="4F4B13B8" w14:textId="77777777" w:rsidTr="00EA711D">
        <w:trPr>
          <w:trHeight w:val="1088"/>
        </w:trPr>
        <w:tc>
          <w:tcPr>
            <w:tcW w:w="102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3A2CB9A" w14:textId="77777777" w:rsidR="000408C1" w:rsidRPr="00BA50E6" w:rsidRDefault="000408C1" w:rsidP="00EA711D">
            <w:pPr>
              <w:jc w:val="both"/>
              <w:rPr>
                <w:rFonts w:ascii="Marianne" w:hAnsi="Marianne" w:cstheme="majorHAnsi"/>
                <w:sz w:val="20"/>
                <w:szCs w:val="20"/>
                <w:lang w:val="fr-FR"/>
              </w:rPr>
            </w:pPr>
            <w:r w:rsidRPr="00BA50E6">
              <w:rPr>
                <w:rFonts w:ascii="Marianne" w:hAnsi="Marianne" w:cstheme="majorHAnsi"/>
                <w:sz w:val="20"/>
                <w:szCs w:val="20"/>
                <w:lang w:val="fr-FR"/>
              </w:rPr>
              <w:t xml:space="preserve">Le référentiel de formation pour la profession d’aide-soignant en France vient d’être modifié. </w:t>
            </w:r>
          </w:p>
          <w:p w14:paraId="07699BEE" w14:textId="6AECC899" w:rsidR="000408C1" w:rsidRPr="00BA50E6" w:rsidRDefault="000408C1" w:rsidP="00EA711D">
            <w:pPr>
              <w:jc w:val="both"/>
              <w:rPr>
                <w:rFonts w:ascii="Marianne" w:hAnsi="Marianne" w:cstheme="majorHAnsi"/>
                <w:sz w:val="20"/>
                <w:szCs w:val="20"/>
                <w:lang w:val="fr-FR"/>
              </w:rPr>
            </w:pPr>
            <w:r w:rsidRPr="00BA50E6">
              <w:rPr>
                <w:rFonts w:ascii="Marianne" w:hAnsi="Marianne" w:cstheme="majorHAnsi"/>
                <w:sz w:val="20"/>
                <w:szCs w:val="20"/>
                <w:lang w:val="fr-FR"/>
              </w:rPr>
              <w:t>Certains gestes techniques ont été ajoutés aux compétences attendu</w:t>
            </w:r>
            <w:r w:rsidR="00BA50E6">
              <w:rPr>
                <w:rFonts w:ascii="Marianne" w:hAnsi="Marianne" w:cstheme="majorHAnsi"/>
                <w:sz w:val="20"/>
                <w:szCs w:val="20"/>
                <w:lang w:val="fr-FR"/>
              </w:rPr>
              <w:t>e</w:t>
            </w:r>
            <w:r w:rsidRPr="00BA50E6">
              <w:rPr>
                <w:rFonts w:ascii="Marianne" w:hAnsi="Marianne" w:cstheme="majorHAnsi"/>
                <w:sz w:val="20"/>
                <w:szCs w:val="20"/>
                <w:lang w:val="fr-FR"/>
              </w:rPr>
              <w:t xml:space="preserve">s des aides-soignants. </w:t>
            </w:r>
          </w:p>
          <w:p w14:paraId="798FA9C9" w14:textId="77777777" w:rsidR="000408C1" w:rsidRPr="00BA50E6" w:rsidRDefault="000408C1" w:rsidP="00EA711D">
            <w:pPr>
              <w:jc w:val="both"/>
              <w:rPr>
                <w:rFonts w:ascii="Marianne" w:hAnsi="Marianne" w:cstheme="majorHAnsi"/>
                <w:sz w:val="20"/>
                <w:szCs w:val="20"/>
                <w:lang w:val="fr-FR"/>
              </w:rPr>
            </w:pPr>
            <w:r w:rsidRPr="00BA50E6">
              <w:rPr>
                <w:rFonts w:ascii="Marianne" w:hAnsi="Marianne" w:cstheme="majorHAnsi"/>
                <w:sz w:val="20"/>
                <w:szCs w:val="20"/>
                <w:lang w:val="fr-FR"/>
              </w:rPr>
              <w:t>Ainsi, indiquez si au cours de votre formation initiale ou au cours de vos expériences professionnelles vous avez appris ou pratiqué les actes listés ci-après :</w:t>
            </w:r>
          </w:p>
          <w:p w14:paraId="17718A4B" w14:textId="77777777" w:rsidR="000408C1" w:rsidRPr="00BA50E6" w:rsidRDefault="000408C1" w:rsidP="00EA711D">
            <w:pPr>
              <w:jc w:val="both"/>
              <w:rPr>
                <w:rFonts w:ascii="Marianne" w:hAnsi="Marianne" w:cstheme="majorHAnsi"/>
                <w:sz w:val="20"/>
                <w:szCs w:val="20"/>
                <w:lang w:val="fr-FR"/>
              </w:rPr>
            </w:pPr>
          </w:p>
          <w:tbl>
            <w:tblPr>
              <w:tblStyle w:val="Grilledutableau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  <w:gridCol w:w="660"/>
              <w:gridCol w:w="757"/>
            </w:tblGrid>
            <w:tr w:rsidR="000408C1" w:rsidRPr="009027B5" w14:paraId="04BE14DE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325E6" w14:textId="77777777" w:rsidR="000408C1" w:rsidRPr="009027B5" w:rsidRDefault="000408C1" w:rsidP="00EA711D">
                  <w:pPr>
                    <w:jc w:val="center"/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  <w:proofErr w:type="spellStart"/>
                  <w:r w:rsidRPr="009027B5">
                    <w:rPr>
                      <w:rFonts w:ascii="Marianne" w:hAnsi="Marianne"/>
                      <w:b/>
                      <w:sz w:val="20"/>
                      <w:szCs w:val="20"/>
                    </w:rPr>
                    <w:t>Actes</w:t>
                  </w:r>
                  <w:proofErr w:type="spellEnd"/>
                  <w:r w:rsidRPr="009027B5">
                    <w:rPr>
                      <w:rFonts w:ascii="Marianne" w:hAnsi="Marianne"/>
                      <w:b/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9027B5">
                    <w:rPr>
                      <w:rFonts w:ascii="Marianne" w:hAnsi="Marianne"/>
                      <w:b/>
                      <w:sz w:val="20"/>
                      <w:szCs w:val="20"/>
                    </w:rPr>
                    <w:t>connaître</w:t>
                  </w:r>
                  <w:proofErr w:type="spellEnd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1F3C6" w14:textId="77777777" w:rsidR="000408C1" w:rsidRPr="009027B5" w:rsidRDefault="000408C1" w:rsidP="00EA711D">
                  <w:pPr>
                    <w:jc w:val="center"/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  <w:r w:rsidRPr="009027B5">
                    <w:rPr>
                      <w:rFonts w:ascii="Marianne" w:hAnsi="Marianne"/>
                      <w:b/>
                      <w:sz w:val="20"/>
                      <w:szCs w:val="20"/>
                    </w:rPr>
                    <w:t xml:space="preserve">OUI 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1B94A" w14:textId="77777777" w:rsidR="000408C1" w:rsidRPr="009027B5" w:rsidRDefault="000408C1" w:rsidP="00EA711D">
                  <w:pPr>
                    <w:jc w:val="center"/>
                    <w:rPr>
                      <w:rFonts w:ascii="Marianne" w:hAnsi="Marianne"/>
                      <w:b/>
                      <w:sz w:val="20"/>
                      <w:szCs w:val="20"/>
                    </w:rPr>
                  </w:pPr>
                  <w:r w:rsidRPr="009027B5">
                    <w:rPr>
                      <w:rFonts w:ascii="Marianne" w:hAnsi="Marianne"/>
                      <w:b/>
                      <w:sz w:val="20"/>
                      <w:szCs w:val="20"/>
                    </w:rPr>
                    <w:t>NON</w:t>
                  </w:r>
                </w:p>
              </w:tc>
            </w:tr>
            <w:tr w:rsidR="000408C1" w:rsidRPr="00BA50E6" w14:paraId="19013FB6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338FB" w14:textId="77777777" w:rsidR="000408C1" w:rsidRPr="00BA50E6" w:rsidRDefault="000408C1" w:rsidP="000408C1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 xml:space="preserve">Réalisation d’aspiration </w:t>
                  </w:r>
                  <w:proofErr w:type="spellStart"/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endo-trachéale</w:t>
                  </w:r>
                  <w:proofErr w:type="spellEnd"/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 xml:space="preserve"> sur orifice trachéal cicatrisé et non inflammatoire 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DAEBA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50297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741F9D55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F5EF53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 xml:space="preserve">Pose de suppositoire pour l’aide à l’élimination 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B248E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660E1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01B37E10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3C0FC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Application de crème et de pommade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F6E2B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253BE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12A44C16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7DDB7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Lecture instantanée de données biologiques urinaires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18E47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BE747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36866172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7B1CC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Changement de lunette à oxygène avec tubulure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B5B9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47983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226A18B5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5177F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Participation à l’animation d’un groupe à visée thérapeutique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34F1C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EB532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071EC20B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28D8D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Immobilisations : observation et surveillance des attelles, plâtres et tractions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D4419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A3FD0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25FCAD04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6CB4E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Lavage oculaire et instillation de collyre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2543B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11FB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78B995DF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63C55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Recueil de la saturation en oxygène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56676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B80C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19878509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79369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Calcul de l’IMC à l’aide d’un outil paramétré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EDF50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9D470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35A145B7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77485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 xml:space="preserve">Pose et changement de masque pour l’aide à la respiration en situation stable chronique 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E12BE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1E9C1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3562AD83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C4497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Renouvellement de poche et de support de colostomie si cicatrisée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016CC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73D98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4946C65B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74465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Recueil de glycémie par captation capillaire ou par lecture instantanée transdermique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7AD50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088A3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299D7EE3" w14:textId="77777777" w:rsidTr="00EA711D">
              <w:tc>
                <w:tcPr>
                  <w:tcW w:w="8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4758A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Recueil aseptique des urines hors sonde urinaire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F8DC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105EE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548477C2" w14:textId="77777777" w:rsidTr="00EA711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00"/>
              </w:trPr>
              <w:tc>
                <w:tcPr>
                  <w:tcW w:w="8709" w:type="dxa"/>
                </w:tcPr>
                <w:p w14:paraId="1A199505" w14:textId="77777777" w:rsidR="000408C1" w:rsidRPr="009027B5" w:rsidRDefault="000408C1" w:rsidP="00EA711D">
                  <w:pPr>
                    <w:jc w:val="both"/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Pose</w:t>
                  </w:r>
                  <w:r w:rsidRPr="009027B5"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  <w:t xml:space="preserve"> de bas de contention</w:t>
                  </w:r>
                </w:p>
              </w:tc>
              <w:tc>
                <w:tcPr>
                  <w:tcW w:w="660" w:type="dxa"/>
                </w:tcPr>
                <w:p w14:paraId="6276B063" w14:textId="77777777" w:rsidR="000408C1" w:rsidRPr="009027B5" w:rsidRDefault="000408C1" w:rsidP="00EA711D">
                  <w:pPr>
                    <w:adjustRightInd w:val="0"/>
                    <w:spacing w:after="62"/>
                    <w:ind w:right="68"/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</w:tcPr>
                <w:p w14:paraId="7E59C26B" w14:textId="77777777" w:rsidR="000408C1" w:rsidRPr="009027B5" w:rsidRDefault="000408C1" w:rsidP="00EA711D">
                  <w:pPr>
                    <w:adjustRightInd w:val="0"/>
                    <w:spacing w:after="62"/>
                    <w:ind w:right="68"/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3C46AD3C" w14:textId="77777777" w:rsidTr="00EA711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300"/>
              </w:trPr>
              <w:tc>
                <w:tcPr>
                  <w:tcW w:w="8709" w:type="dxa"/>
                </w:tcPr>
                <w:p w14:paraId="78F33519" w14:textId="77777777" w:rsidR="000408C1" w:rsidRPr="00BA50E6" w:rsidRDefault="000408C1" w:rsidP="00EA711D">
                  <w:pPr>
                    <w:jc w:val="both"/>
                    <w:rPr>
                      <w:rFonts w:ascii="Marianne" w:hAnsi="Marianne"/>
                      <w:sz w:val="20"/>
                      <w:szCs w:val="20"/>
                      <w:lang w:val="fr-FR"/>
                    </w:rPr>
                  </w:pPr>
                  <w:r w:rsidRPr="00BA50E6">
                    <w:rPr>
                      <w:rFonts w:ascii="Marianne" w:hAnsi="Marianne"/>
                      <w:sz w:val="20"/>
                      <w:szCs w:val="20"/>
                      <w:lang w:val="fr-FR"/>
                    </w:rPr>
                    <w:t>Surveillance d’une personne sous moniteur à prise de constants directes et automatiques</w:t>
                  </w:r>
                </w:p>
              </w:tc>
              <w:tc>
                <w:tcPr>
                  <w:tcW w:w="660" w:type="dxa"/>
                </w:tcPr>
                <w:p w14:paraId="2549084E" w14:textId="77777777" w:rsidR="000408C1" w:rsidRPr="009027B5" w:rsidRDefault="000408C1" w:rsidP="00EA711D">
                  <w:pPr>
                    <w:adjustRightInd w:val="0"/>
                    <w:spacing w:after="62"/>
                    <w:ind w:right="68"/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57" w:type="dxa"/>
                </w:tcPr>
                <w:p w14:paraId="7DD05480" w14:textId="77777777" w:rsidR="000408C1" w:rsidRPr="009027B5" w:rsidRDefault="000408C1" w:rsidP="00EA711D">
                  <w:pPr>
                    <w:adjustRightInd w:val="0"/>
                    <w:spacing w:after="62"/>
                    <w:ind w:right="68"/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7E709EA6" w14:textId="77777777" w:rsidR="000408C1" w:rsidRPr="009027B5" w:rsidRDefault="000408C1" w:rsidP="00EA711D">
            <w:pPr>
              <w:adjustRightInd w:val="0"/>
              <w:spacing w:after="62"/>
              <w:ind w:left="-68" w:right="68"/>
              <w:rPr>
                <w:rFonts w:ascii="Marianne" w:hAnsi="Marianne" w:cstheme="majorHAns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tbl>
            <w:tblPr>
              <w:tblW w:w="424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0"/>
            </w:tblGrid>
            <w:tr w:rsidR="000408C1" w:rsidRPr="00BA50E6" w14:paraId="66D821B3" w14:textId="77777777" w:rsidTr="00EA711D">
              <w:trPr>
                <w:trHeight w:val="1088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70" w:type="dxa"/>
                    <w:right w:w="70" w:type="dxa"/>
                  </w:tcMar>
                </w:tcPr>
                <w:p w14:paraId="41834DED" w14:textId="77777777" w:rsidR="000408C1" w:rsidRPr="009027B5" w:rsidRDefault="000408C1" w:rsidP="00EA711D">
                  <w:pPr>
                    <w:adjustRightInd w:val="0"/>
                    <w:ind w:left="-68" w:right="68"/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</w:pPr>
                  <w:r w:rsidRPr="009027B5">
                    <w:rPr>
                      <w:rFonts w:ascii="Marianne" w:hAnsi="Marianne" w:cstheme="majorHAns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  <w:tbl>
                  <w:tblPr>
                    <w:tblW w:w="4240" w:type="dxa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40"/>
                  </w:tblGrid>
                  <w:tr w:rsidR="000408C1" w:rsidRPr="00BA50E6" w14:paraId="05090400" w14:textId="77777777" w:rsidTr="00EA711D">
                    <w:trPr>
                      <w:trHeight w:val="1088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70" w:type="dxa"/>
                          <w:right w:w="70" w:type="dxa"/>
                        </w:tcMar>
                      </w:tcPr>
                      <w:p w14:paraId="65514E3E" w14:textId="77777777" w:rsidR="000408C1" w:rsidRPr="00BA50E6" w:rsidRDefault="000408C1" w:rsidP="00EA711D">
                        <w:pPr>
                          <w:adjustRightInd w:val="0"/>
                          <w:ind w:left="-68" w:right="68"/>
                          <w:rPr>
                            <w:rFonts w:ascii="Marianne" w:hAnsi="Marianne" w:cstheme="majorHAnsi"/>
                            <w:b/>
                            <w:bCs/>
                            <w:color w:val="000000"/>
                            <w:sz w:val="20"/>
                            <w:szCs w:val="20"/>
                            <w:lang w:val="fr-FR"/>
                          </w:rPr>
                        </w:pPr>
                      </w:p>
                      <w:p w14:paraId="7B3395DC" w14:textId="77777777" w:rsidR="000408C1" w:rsidRPr="00BA50E6" w:rsidRDefault="000408C1" w:rsidP="00EA711D">
                        <w:pPr>
                          <w:adjustRightInd w:val="0"/>
                          <w:ind w:left="-68" w:right="68"/>
                          <w:rPr>
                            <w:rFonts w:ascii="Marianne" w:hAnsi="Marianne" w:cstheme="majorHAnsi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</w:tbl>
                <w:p w14:paraId="45EB16D7" w14:textId="77777777" w:rsidR="000408C1" w:rsidRPr="00BA50E6" w:rsidRDefault="000408C1" w:rsidP="00EA711D">
                  <w:pPr>
                    <w:adjustRightInd w:val="0"/>
                    <w:rPr>
                      <w:rFonts w:ascii="Marianne" w:hAnsi="Marianne" w:cstheme="majorHAnsi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0408C1" w:rsidRPr="00BA50E6" w14:paraId="4FFCC3F8" w14:textId="77777777" w:rsidTr="00EA711D">
              <w:trPr>
                <w:trHeight w:val="26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70" w:type="dxa"/>
                    <w:right w:w="70" w:type="dxa"/>
                  </w:tcMar>
                </w:tcPr>
                <w:p w14:paraId="0C91C9F0" w14:textId="77777777" w:rsidR="000408C1" w:rsidRPr="00BA50E6" w:rsidRDefault="000408C1" w:rsidP="00EA711D">
                  <w:pPr>
                    <w:adjustRightInd w:val="0"/>
                    <w:rPr>
                      <w:rFonts w:ascii="Marianne" w:hAnsi="Marianne" w:cstheme="majorHAnsi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2EF6DB62" w14:textId="77777777" w:rsidR="000408C1" w:rsidRPr="00BA50E6" w:rsidRDefault="000408C1" w:rsidP="00EA711D">
            <w:pPr>
              <w:adjustRightInd w:val="0"/>
              <w:rPr>
                <w:rFonts w:ascii="Marianne" w:hAnsi="Marianne" w:cstheme="majorHAnsi"/>
                <w:sz w:val="20"/>
                <w:szCs w:val="20"/>
                <w:lang w:val="fr-FR"/>
              </w:rPr>
            </w:pPr>
          </w:p>
        </w:tc>
      </w:tr>
    </w:tbl>
    <w:p w14:paraId="0E4060E0" w14:textId="77777777" w:rsidR="000408C1" w:rsidRPr="00BA50E6" w:rsidRDefault="000408C1" w:rsidP="000408C1">
      <w:pPr>
        <w:jc w:val="both"/>
        <w:rPr>
          <w:rFonts w:ascii="Marianne" w:hAnsi="Marianne" w:cstheme="majorHAnsi"/>
          <w:sz w:val="20"/>
          <w:szCs w:val="20"/>
          <w:lang w:val="fr-FR"/>
        </w:rPr>
      </w:pPr>
    </w:p>
    <w:p w14:paraId="56D11B7C" w14:textId="77777777" w:rsidR="000408C1" w:rsidRPr="00E96442" w:rsidRDefault="000408C1" w:rsidP="000408C1">
      <w:pPr>
        <w:adjustRightInd w:val="0"/>
        <w:jc w:val="both"/>
        <w:rPr>
          <w:rFonts w:ascii="Marianne" w:hAnsi="Marianne" w:cstheme="majorHAnsi"/>
          <w:b/>
          <w:color w:val="000000"/>
          <w:sz w:val="20"/>
          <w:szCs w:val="20"/>
          <w:lang w:val="fr-FR"/>
        </w:rPr>
      </w:pPr>
      <w:r w:rsidRPr="00E96442">
        <w:rPr>
          <w:rFonts w:ascii="Marianne" w:hAnsi="Marianne" w:cstheme="majorHAnsi"/>
          <w:b/>
          <w:color w:val="000000"/>
          <w:sz w:val="20"/>
          <w:szCs w:val="20"/>
          <w:lang w:val="fr-FR"/>
        </w:rPr>
        <w:t xml:space="preserve">Pour les personnes n’ayant aucune expérience professionnelle, veuillez nous faire parvenir un document de l’école attestant de l’apprentissage de tout ou partie de ces actes. </w:t>
      </w:r>
    </w:p>
    <w:p w14:paraId="2F184109" w14:textId="77777777" w:rsidR="000408C1" w:rsidRPr="00E96442" w:rsidRDefault="000408C1" w:rsidP="000408C1">
      <w:pPr>
        <w:adjustRightInd w:val="0"/>
        <w:jc w:val="both"/>
        <w:rPr>
          <w:rFonts w:ascii="Marianne" w:hAnsi="Marianne" w:cstheme="majorHAnsi"/>
          <w:b/>
          <w:color w:val="000000"/>
          <w:sz w:val="20"/>
          <w:szCs w:val="20"/>
          <w:lang w:val="fr-FR"/>
        </w:rPr>
      </w:pPr>
    </w:p>
    <w:p w14:paraId="5083B9B4" w14:textId="77777777" w:rsidR="000408C1" w:rsidRPr="00E96442" w:rsidRDefault="000408C1" w:rsidP="000408C1">
      <w:pPr>
        <w:adjustRightInd w:val="0"/>
        <w:jc w:val="both"/>
        <w:rPr>
          <w:rFonts w:ascii="Marianne" w:hAnsi="Marianne" w:cstheme="majorHAnsi"/>
          <w:b/>
          <w:color w:val="000000"/>
          <w:sz w:val="20"/>
          <w:szCs w:val="20"/>
          <w:lang w:val="fr-FR"/>
        </w:rPr>
      </w:pPr>
      <w:r w:rsidRPr="00E96442">
        <w:rPr>
          <w:rFonts w:ascii="Marianne" w:hAnsi="Marianne" w:cstheme="majorHAnsi"/>
          <w:b/>
          <w:color w:val="000000"/>
          <w:sz w:val="20"/>
          <w:szCs w:val="20"/>
          <w:lang w:val="fr-FR"/>
        </w:rPr>
        <w:t xml:space="preserve">Pour les personnes ayant une expérience professionnelle, un document de votre employeur attestant sur l’honneur de votre maîtrise de tout ou partie de ces actes. </w:t>
      </w:r>
    </w:p>
    <w:p w14:paraId="68781A83" w14:textId="77777777" w:rsidR="000408C1" w:rsidRPr="00E96442" w:rsidRDefault="000408C1" w:rsidP="000408C1">
      <w:pPr>
        <w:adjustRightInd w:val="0"/>
        <w:jc w:val="both"/>
        <w:rPr>
          <w:rFonts w:ascii="Marianne" w:hAnsi="Marianne" w:cstheme="majorHAnsi"/>
          <w:color w:val="000000"/>
          <w:sz w:val="20"/>
          <w:szCs w:val="20"/>
          <w:lang w:val="fr-FR"/>
        </w:rPr>
      </w:pPr>
    </w:p>
    <w:p w14:paraId="629DF18C" w14:textId="73E51D55" w:rsidR="000408C1" w:rsidRPr="00E96442" w:rsidRDefault="000408C1" w:rsidP="000408C1">
      <w:pPr>
        <w:adjustRightInd w:val="0"/>
        <w:jc w:val="both"/>
        <w:rPr>
          <w:rFonts w:ascii="Marianne" w:hAnsi="Marianne" w:cstheme="majorHAnsi"/>
          <w:color w:val="000000"/>
          <w:sz w:val="20"/>
          <w:szCs w:val="20"/>
          <w:lang w:val="fr-FR"/>
        </w:rPr>
      </w:pPr>
      <w:r w:rsidRPr="00E96442">
        <w:rPr>
          <w:rFonts w:ascii="Marianne" w:hAnsi="Marianne" w:cstheme="majorHAnsi"/>
          <w:color w:val="000000"/>
          <w:sz w:val="20"/>
          <w:szCs w:val="20"/>
          <w:lang w:val="fr-FR"/>
        </w:rPr>
        <w:t>Les réponses fournies permettront d’une part de calibrer les mesures compensatoires qui vous seront demandées et d’autre part, vous engage</w:t>
      </w:r>
      <w:r w:rsidR="009F66B5">
        <w:rPr>
          <w:rFonts w:ascii="Marianne" w:hAnsi="Marianne" w:cstheme="majorHAnsi"/>
          <w:color w:val="000000"/>
          <w:sz w:val="20"/>
          <w:szCs w:val="20"/>
          <w:lang w:val="fr-FR"/>
        </w:rPr>
        <w:t>nt</w:t>
      </w:r>
      <w:r w:rsidRPr="00E96442">
        <w:rPr>
          <w:rFonts w:ascii="Marianne" w:hAnsi="Marianne" w:cstheme="majorHAnsi"/>
          <w:color w:val="000000"/>
          <w:sz w:val="20"/>
          <w:szCs w:val="20"/>
          <w:lang w:val="fr-FR"/>
        </w:rPr>
        <w:t xml:space="preserve"> dans la poursuite de votre exercice en France où vos futurs employeurs seront en droit d’exiger de vous la maitrise de ces gestes.</w:t>
      </w:r>
    </w:p>
    <w:p w14:paraId="60487F85" w14:textId="77777777" w:rsidR="000408C1" w:rsidRPr="00E96442" w:rsidRDefault="000408C1" w:rsidP="000408C1">
      <w:pPr>
        <w:adjustRightInd w:val="0"/>
        <w:jc w:val="both"/>
        <w:rPr>
          <w:rFonts w:ascii="Marianne" w:hAnsi="Marianne" w:cstheme="majorHAnsi"/>
          <w:color w:val="000000"/>
          <w:sz w:val="20"/>
          <w:szCs w:val="20"/>
          <w:lang w:val="fr-FR"/>
        </w:rPr>
      </w:pPr>
      <w:r w:rsidRPr="00E96442">
        <w:rPr>
          <w:rFonts w:ascii="Marianne" w:hAnsi="Marianne" w:cstheme="majorHAnsi"/>
          <w:color w:val="000000"/>
          <w:sz w:val="20"/>
          <w:szCs w:val="20"/>
          <w:lang w:val="fr-FR"/>
        </w:rPr>
        <w:t xml:space="preserve"> </w:t>
      </w:r>
    </w:p>
    <w:p w14:paraId="5850EE3A" w14:textId="77777777" w:rsidR="001D0E3D" w:rsidRPr="00326F7B" w:rsidRDefault="00D33D0A" w:rsidP="009027B5">
      <w:pPr>
        <w:spacing w:line="360" w:lineRule="auto"/>
        <w:jc w:val="both"/>
        <w:rPr>
          <w:rFonts w:ascii="Marianne" w:hAnsi="Marianne"/>
          <w:b/>
          <w:noProof/>
        </w:rPr>
      </w:pPr>
      <w:r w:rsidRPr="00E96442">
        <w:rPr>
          <w:rFonts w:ascii="Marianne" w:hAnsi="Marianne"/>
          <w:noProof/>
          <w:sz w:val="20"/>
          <w:szCs w:val="20"/>
          <w:lang w:val="fr-FR"/>
        </w:rPr>
        <w:t xml:space="preserve">                      </w:t>
      </w:r>
      <w:r w:rsidR="000408C1" w:rsidRPr="00E96442">
        <w:rPr>
          <w:rFonts w:ascii="Marianne" w:hAnsi="Marianne"/>
          <w:noProof/>
          <w:sz w:val="20"/>
          <w:szCs w:val="20"/>
          <w:lang w:val="fr-FR"/>
        </w:rPr>
        <w:tab/>
      </w:r>
      <w:r w:rsidR="000408C1" w:rsidRPr="00E96442">
        <w:rPr>
          <w:rFonts w:ascii="Marianne" w:hAnsi="Marianne"/>
          <w:noProof/>
          <w:sz w:val="20"/>
          <w:szCs w:val="20"/>
          <w:lang w:val="fr-FR"/>
        </w:rPr>
        <w:tab/>
      </w:r>
      <w:r w:rsidR="000408C1" w:rsidRPr="00E96442">
        <w:rPr>
          <w:rFonts w:ascii="Marianne" w:hAnsi="Marianne"/>
          <w:noProof/>
          <w:sz w:val="20"/>
          <w:szCs w:val="20"/>
          <w:lang w:val="fr-FR"/>
        </w:rPr>
        <w:tab/>
      </w:r>
      <w:r w:rsidR="000408C1" w:rsidRPr="00E96442">
        <w:rPr>
          <w:rFonts w:ascii="Marianne" w:hAnsi="Marianne"/>
          <w:noProof/>
          <w:sz w:val="20"/>
          <w:szCs w:val="20"/>
          <w:lang w:val="fr-FR"/>
        </w:rPr>
        <w:tab/>
      </w:r>
      <w:r w:rsidR="00326F7B" w:rsidRPr="00E96442">
        <w:rPr>
          <w:rFonts w:ascii="Marianne" w:hAnsi="Marianne"/>
          <w:noProof/>
          <w:sz w:val="20"/>
          <w:szCs w:val="20"/>
          <w:lang w:val="fr-FR"/>
        </w:rPr>
        <w:tab/>
      </w:r>
      <w:r w:rsidR="00326F7B" w:rsidRPr="00E96442">
        <w:rPr>
          <w:rFonts w:ascii="Marianne" w:hAnsi="Marianne"/>
          <w:noProof/>
          <w:sz w:val="20"/>
          <w:szCs w:val="20"/>
          <w:lang w:val="fr-FR"/>
        </w:rPr>
        <w:tab/>
      </w:r>
      <w:r w:rsidR="000408C1" w:rsidRPr="00326F7B">
        <w:rPr>
          <w:rFonts w:ascii="Marianne" w:hAnsi="Marianne"/>
          <w:b/>
          <w:noProof/>
          <w:u w:val="single"/>
        </w:rPr>
        <w:t>Date</w:t>
      </w:r>
      <w:r w:rsidR="000408C1" w:rsidRPr="00326F7B">
        <w:rPr>
          <w:rFonts w:ascii="Marianne" w:hAnsi="Marianne"/>
          <w:b/>
          <w:noProof/>
        </w:rPr>
        <w:t xml:space="preserve"> :</w:t>
      </w:r>
    </w:p>
    <w:p w14:paraId="33D009E7" w14:textId="77777777" w:rsidR="000408C1" w:rsidRPr="00326F7B" w:rsidRDefault="000408C1" w:rsidP="009027B5">
      <w:pPr>
        <w:spacing w:line="360" w:lineRule="auto"/>
        <w:jc w:val="both"/>
        <w:rPr>
          <w:rFonts w:ascii="Marianne" w:hAnsi="Marianne" w:cstheme="majorHAnsi"/>
          <w:b/>
          <w:lang w:val="fr-FR"/>
        </w:rPr>
      </w:pPr>
      <w:r w:rsidRPr="00326F7B">
        <w:rPr>
          <w:rFonts w:ascii="Marianne" w:hAnsi="Marianne"/>
          <w:b/>
          <w:noProof/>
        </w:rPr>
        <w:tab/>
      </w:r>
      <w:r w:rsidRPr="00326F7B">
        <w:rPr>
          <w:rFonts w:ascii="Marianne" w:hAnsi="Marianne"/>
          <w:b/>
          <w:noProof/>
        </w:rPr>
        <w:tab/>
      </w:r>
      <w:r w:rsidRPr="00326F7B">
        <w:rPr>
          <w:rFonts w:ascii="Marianne" w:hAnsi="Marianne"/>
          <w:b/>
          <w:noProof/>
        </w:rPr>
        <w:tab/>
      </w:r>
      <w:r w:rsidRPr="00326F7B">
        <w:rPr>
          <w:rFonts w:ascii="Marianne" w:hAnsi="Marianne"/>
          <w:b/>
          <w:noProof/>
        </w:rPr>
        <w:tab/>
      </w:r>
      <w:r w:rsidRPr="00326F7B">
        <w:rPr>
          <w:rFonts w:ascii="Marianne" w:hAnsi="Marianne"/>
          <w:b/>
          <w:noProof/>
        </w:rPr>
        <w:tab/>
      </w:r>
      <w:r w:rsidR="00326F7B" w:rsidRPr="00326F7B">
        <w:rPr>
          <w:rFonts w:ascii="Marianne" w:hAnsi="Marianne"/>
          <w:b/>
          <w:noProof/>
        </w:rPr>
        <w:tab/>
      </w:r>
      <w:r w:rsidR="00326F7B" w:rsidRPr="00326F7B">
        <w:rPr>
          <w:rFonts w:ascii="Marianne" w:hAnsi="Marianne"/>
          <w:b/>
          <w:noProof/>
        </w:rPr>
        <w:tab/>
      </w:r>
      <w:r w:rsidRPr="00326F7B">
        <w:rPr>
          <w:rFonts w:ascii="Marianne" w:hAnsi="Marianne"/>
          <w:b/>
          <w:noProof/>
          <w:u w:val="single"/>
        </w:rPr>
        <w:t>Signature</w:t>
      </w:r>
      <w:r w:rsidRPr="00326F7B">
        <w:rPr>
          <w:rFonts w:ascii="Marianne" w:hAnsi="Marianne"/>
          <w:b/>
          <w:noProof/>
        </w:rPr>
        <w:t xml:space="preserve"> : </w:t>
      </w:r>
    </w:p>
    <w:sectPr w:rsidR="000408C1" w:rsidRPr="00326F7B" w:rsidSect="009027B5">
      <w:headerReference w:type="default" r:id="rId12"/>
      <w:footerReference w:type="default" r:id="rId13"/>
      <w:type w:val="continuous"/>
      <w:pgSz w:w="11910" w:h="16840"/>
      <w:pgMar w:top="568" w:right="964" w:bottom="964" w:left="964" w:header="720" w:footer="1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50FC" w14:textId="77777777" w:rsidR="002F1F36" w:rsidRDefault="002F1F36" w:rsidP="0079276E">
      <w:r>
        <w:separator/>
      </w:r>
    </w:p>
  </w:endnote>
  <w:endnote w:type="continuationSeparator" w:id="0">
    <w:p w14:paraId="5E59B48B" w14:textId="77777777" w:rsidR="002F1F36" w:rsidRDefault="002F1F3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337251" w14:textId="77777777" w:rsidR="001D0E3D" w:rsidRDefault="001D0E3D" w:rsidP="0028698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D2544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4B56684" w14:textId="77777777" w:rsidR="001D0E3D" w:rsidRDefault="001D0E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4BC6" w14:textId="604377D5" w:rsidR="00BA50E6" w:rsidRPr="00BA50E6" w:rsidRDefault="00BA50E6" w:rsidP="00BA50E6">
    <w:pPr>
      <w:tabs>
        <w:tab w:val="left" w:pos="2985"/>
      </w:tabs>
      <w:rPr>
        <w:rFonts w:eastAsia="Times New Roman" w:cs="Times New Roman"/>
        <w:b/>
        <w:sz w:val="14"/>
        <w:szCs w:val="14"/>
        <w:lang w:val="fr-FR" w:eastAsia="fr-FR"/>
      </w:rPr>
    </w:pPr>
    <w:r>
      <w:rPr>
        <w:rFonts w:eastAsia="Times New Roman" w:cs="Times New Roman"/>
        <w:b/>
        <w:sz w:val="14"/>
        <w:szCs w:val="14"/>
        <w:lang w:val="fr-FR" w:eastAsia="fr-FR"/>
      </w:rPr>
      <w:tab/>
    </w:r>
    <w:r w:rsidRPr="00BA50E6">
      <w:rPr>
        <w:rFonts w:eastAsia="Times New Roman" w:cs="Times New Roman"/>
        <w:b/>
        <w:sz w:val="14"/>
        <w:szCs w:val="14"/>
        <w:lang w:val="fr-FR" w:eastAsia="fr-FR"/>
      </w:rPr>
      <w:t>Direction régionale de l’économie, de l’emploi, du travail et des solidarités</w:t>
    </w:r>
  </w:p>
  <w:p w14:paraId="2075CA51" w14:textId="77777777" w:rsidR="00BA50E6" w:rsidRPr="00BA50E6" w:rsidRDefault="00BA50E6" w:rsidP="00BA50E6">
    <w:pPr>
      <w:tabs>
        <w:tab w:val="center" w:pos="4536"/>
        <w:tab w:val="right" w:pos="9072"/>
      </w:tabs>
      <w:jc w:val="center"/>
      <w:rPr>
        <w:rFonts w:eastAsia="Times New Roman" w:cs="Times New Roman"/>
        <w:sz w:val="14"/>
        <w:szCs w:val="14"/>
        <w:lang w:val="fr-FR" w:eastAsia="fr-FR"/>
      </w:rPr>
    </w:pPr>
    <w:r w:rsidRPr="00BA50E6">
      <w:rPr>
        <w:rFonts w:eastAsia="Times New Roman" w:cs="Times New Roman"/>
        <w:sz w:val="14"/>
        <w:szCs w:val="14"/>
        <w:lang w:val="fr-FR" w:eastAsia="fr-FR"/>
      </w:rPr>
      <w:t>Immeuble le Newton, 3 bis avenue de Belle Fontaine – CS 71714 - 35517 Cesson-Sévigné Cedex – Tél. : 02 99 12 22 22</w:t>
    </w:r>
  </w:p>
  <w:p w14:paraId="61DF41AB" w14:textId="77777777" w:rsidR="00BA50E6" w:rsidRPr="00BA50E6" w:rsidRDefault="00BA50E6" w:rsidP="00BA50E6">
    <w:pPr>
      <w:tabs>
        <w:tab w:val="center" w:pos="4536"/>
        <w:tab w:val="right" w:pos="9072"/>
      </w:tabs>
      <w:jc w:val="center"/>
      <w:rPr>
        <w:rFonts w:eastAsia="Times New Roman" w:cs="Times New Roman"/>
        <w:sz w:val="14"/>
        <w:szCs w:val="14"/>
        <w:lang w:val="fr-FR" w:eastAsia="fr-FR"/>
      </w:rPr>
    </w:pPr>
    <w:r w:rsidRPr="00BA50E6">
      <w:rPr>
        <w:rFonts w:eastAsia="Times New Roman" w:cs="Times New Roman"/>
        <w:sz w:val="14"/>
        <w:szCs w:val="14"/>
        <w:lang w:val="fr-FR" w:eastAsia="fr-FR"/>
      </w:rPr>
      <w:t>Site internet : http://www.dreets.gouv.fr</w:t>
    </w:r>
  </w:p>
  <w:p w14:paraId="567BB25B" w14:textId="77777777" w:rsidR="009027B5" w:rsidRDefault="009027B5" w:rsidP="00331DF9">
    <w:pPr>
      <w:pStyle w:val="Pieddepage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0C0" w14:textId="77777777" w:rsidR="0026151B" w:rsidRPr="00290741" w:rsidRDefault="0026151B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451C35" w14:textId="77777777" w:rsidR="0026151B" w:rsidRPr="008443A5" w:rsidRDefault="0026151B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893FEE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60582420" w14:textId="77777777" w:rsidR="0026151B" w:rsidRPr="00290741" w:rsidRDefault="0026151B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14:paraId="306EB7AB" w14:textId="77777777" w:rsidR="0026151B" w:rsidRPr="00290741" w:rsidRDefault="0026151B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14:paraId="2288DF02" w14:textId="77777777" w:rsidR="0026151B" w:rsidRPr="00C666FD" w:rsidRDefault="0026151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ACCC" w14:textId="77777777" w:rsidR="002F1F36" w:rsidRDefault="002F1F36" w:rsidP="0079276E">
      <w:r>
        <w:separator/>
      </w:r>
    </w:p>
  </w:footnote>
  <w:footnote w:type="continuationSeparator" w:id="0">
    <w:p w14:paraId="11C3E07C" w14:textId="77777777" w:rsidR="002F1F36" w:rsidRDefault="002F1F3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4F95" w14:textId="05C8FDB6" w:rsidR="001D0E3D" w:rsidRDefault="00BA50E6" w:rsidP="00D61C2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7E715A" wp14:editId="71F97D14">
          <wp:simplePos x="0" y="0"/>
          <wp:positionH relativeFrom="column">
            <wp:posOffset>-209550</wp:posOffset>
          </wp:positionH>
          <wp:positionV relativeFrom="paragraph">
            <wp:posOffset>-345440</wp:posOffset>
          </wp:positionV>
          <wp:extent cx="1873250" cy="1725930"/>
          <wp:effectExtent l="0" t="0" r="0" b="7620"/>
          <wp:wrapTight wrapText="bothSides">
            <wp:wrapPolygon edited="0">
              <wp:start x="0" y="0"/>
              <wp:lineTo x="0" y="21457"/>
              <wp:lineTo x="21307" y="21457"/>
              <wp:lineTo x="21307" y="0"/>
              <wp:lineTo x="0" y="0"/>
            </wp:wrapPolygon>
          </wp:wrapTight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:Users:xavier.hasendahl:Desktop:ELEMENTS TEMPLATES SIG:LOGOS:PREF_REGIONS:PREF_region_Bourgogne_Franche_Comte:eps:PREF_region_Bourgogne_Franche_Comt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E3D">
      <w:rPr>
        <w:b/>
        <w:bCs/>
        <w:sz w:val="24"/>
        <w:szCs w:val="24"/>
      </w:rPr>
      <w:br/>
    </w:r>
  </w:p>
  <w:p w14:paraId="3231D462" w14:textId="1C41077D" w:rsidR="001D0E3D" w:rsidRPr="00BA50E6" w:rsidRDefault="001D0E3D" w:rsidP="00D61C20">
    <w:pPr>
      <w:pStyle w:val="En-tte"/>
      <w:tabs>
        <w:tab w:val="clear" w:pos="4513"/>
      </w:tabs>
      <w:jc w:val="right"/>
      <w:rPr>
        <w:rFonts w:ascii="Marianne" w:hAnsi="Marianne"/>
        <w:b/>
        <w:bCs/>
        <w:lang w:val="fr-FR"/>
      </w:rPr>
    </w:pPr>
    <w:r w:rsidRPr="00BA50E6">
      <w:rPr>
        <w:rFonts w:ascii="Marianne" w:eastAsia="Arial" w:hAnsi="Marianne"/>
        <w:b/>
        <w:bCs/>
        <w:lang w:val="fr-FR"/>
      </w:rPr>
      <w:t>Direction régionale</w:t>
    </w:r>
  </w:p>
  <w:p w14:paraId="3CAD717E" w14:textId="77777777" w:rsidR="001D0E3D" w:rsidRPr="00BA50E6" w:rsidRDefault="001D0E3D" w:rsidP="007C7564">
    <w:pPr>
      <w:pStyle w:val="En-tte"/>
      <w:jc w:val="right"/>
      <w:rPr>
        <w:rFonts w:ascii="Marianne" w:hAnsi="Marianne"/>
        <w:b/>
        <w:bCs/>
        <w:lang w:val="fr-FR"/>
      </w:rPr>
    </w:pPr>
    <w:proofErr w:type="gramStart"/>
    <w:r w:rsidRPr="00BA50E6">
      <w:rPr>
        <w:rFonts w:ascii="Marianne" w:hAnsi="Marianne"/>
        <w:b/>
        <w:bCs/>
        <w:lang w:val="fr-FR"/>
      </w:rPr>
      <w:t>de</w:t>
    </w:r>
    <w:proofErr w:type="gramEnd"/>
    <w:r w:rsidRPr="00BA50E6">
      <w:rPr>
        <w:rFonts w:ascii="Marianne" w:hAnsi="Marianne"/>
        <w:b/>
        <w:bCs/>
        <w:lang w:val="fr-FR"/>
      </w:rPr>
      <w:t xml:space="preserve"> l'économie, de l'emploi,</w:t>
    </w:r>
  </w:p>
  <w:p w14:paraId="64E7C9F6" w14:textId="77777777" w:rsidR="001D0E3D" w:rsidRPr="00BA50E6" w:rsidRDefault="001D0E3D" w:rsidP="007C7564">
    <w:pPr>
      <w:pStyle w:val="En-tte"/>
      <w:tabs>
        <w:tab w:val="clear" w:pos="4513"/>
      </w:tabs>
      <w:jc w:val="right"/>
      <w:rPr>
        <w:b/>
        <w:bCs/>
        <w:lang w:val="fr-FR"/>
      </w:rPr>
    </w:pPr>
    <w:proofErr w:type="gramStart"/>
    <w:r w:rsidRPr="00BA50E6">
      <w:rPr>
        <w:rFonts w:ascii="Marianne" w:hAnsi="Marianne"/>
        <w:b/>
        <w:bCs/>
        <w:lang w:val="fr-FR"/>
      </w:rPr>
      <w:t>du</w:t>
    </w:r>
    <w:proofErr w:type="gramEnd"/>
    <w:r w:rsidRPr="00BA50E6">
      <w:rPr>
        <w:rFonts w:ascii="Marianne" w:hAnsi="Marianne"/>
        <w:b/>
        <w:bCs/>
        <w:lang w:val="fr-FR"/>
      </w:rPr>
      <w:t xml:space="preserve"> travail et des solidarités</w:t>
    </w:r>
  </w:p>
  <w:p w14:paraId="2B3BBE61" w14:textId="77777777" w:rsidR="001D0E3D" w:rsidRPr="00647808" w:rsidRDefault="001D0E3D" w:rsidP="00A6072F">
    <w:pPr>
      <w:pStyle w:val="En-tte"/>
      <w:jc w:val="center"/>
      <w:rPr>
        <w:rFonts w:eastAsia="Arial"/>
        <w:b/>
        <w:bCs/>
        <w:sz w:val="24"/>
        <w:szCs w:val="2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1E5" w14:textId="77777777" w:rsidR="0026151B" w:rsidRPr="00B623FE" w:rsidRDefault="0026151B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20B460"/>
    <w:multiLevelType w:val="singleLevel"/>
    <w:tmpl w:val="D4D95138"/>
    <w:lvl w:ilvl="0">
      <w:numFmt w:val="decimal"/>
      <w:lvlText w:val="-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61D05"/>
    <w:multiLevelType w:val="hybridMultilevel"/>
    <w:tmpl w:val="4364C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E1"/>
    <w:rsid w:val="0001014A"/>
    <w:rsid w:val="00011C63"/>
    <w:rsid w:val="000301D7"/>
    <w:rsid w:val="000332B9"/>
    <w:rsid w:val="000334C0"/>
    <w:rsid w:val="000408C1"/>
    <w:rsid w:val="00041EC8"/>
    <w:rsid w:val="000534DC"/>
    <w:rsid w:val="000779B7"/>
    <w:rsid w:val="00077A96"/>
    <w:rsid w:val="00082F82"/>
    <w:rsid w:val="000924D0"/>
    <w:rsid w:val="000A6652"/>
    <w:rsid w:val="000A6C2F"/>
    <w:rsid w:val="000E1CD2"/>
    <w:rsid w:val="000F7670"/>
    <w:rsid w:val="00167430"/>
    <w:rsid w:val="001748BA"/>
    <w:rsid w:val="001779D5"/>
    <w:rsid w:val="0018071C"/>
    <w:rsid w:val="001B4672"/>
    <w:rsid w:val="001D0E3D"/>
    <w:rsid w:val="001D404B"/>
    <w:rsid w:val="001E672A"/>
    <w:rsid w:val="001E73CC"/>
    <w:rsid w:val="001F1257"/>
    <w:rsid w:val="00211923"/>
    <w:rsid w:val="00247974"/>
    <w:rsid w:val="0026151B"/>
    <w:rsid w:val="00262B14"/>
    <w:rsid w:val="0028698D"/>
    <w:rsid w:val="00290741"/>
    <w:rsid w:val="002973A4"/>
    <w:rsid w:val="002A6968"/>
    <w:rsid w:val="002C3085"/>
    <w:rsid w:val="002E3878"/>
    <w:rsid w:val="002F025B"/>
    <w:rsid w:val="002F1F36"/>
    <w:rsid w:val="00326F7B"/>
    <w:rsid w:val="00331DF9"/>
    <w:rsid w:val="003760FE"/>
    <w:rsid w:val="0039322F"/>
    <w:rsid w:val="003C7B45"/>
    <w:rsid w:val="003F6BE9"/>
    <w:rsid w:val="00431A4F"/>
    <w:rsid w:val="00436961"/>
    <w:rsid w:val="00464B3D"/>
    <w:rsid w:val="00465630"/>
    <w:rsid w:val="004769D0"/>
    <w:rsid w:val="004849D6"/>
    <w:rsid w:val="004A7D45"/>
    <w:rsid w:val="004B3174"/>
    <w:rsid w:val="004D141A"/>
    <w:rsid w:val="004D5834"/>
    <w:rsid w:val="004E14E7"/>
    <w:rsid w:val="005054A8"/>
    <w:rsid w:val="00563759"/>
    <w:rsid w:val="0057332F"/>
    <w:rsid w:val="00583DCA"/>
    <w:rsid w:val="00590D9F"/>
    <w:rsid w:val="005C00FB"/>
    <w:rsid w:val="005D4852"/>
    <w:rsid w:val="005F2E98"/>
    <w:rsid w:val="00610C29"/>
    <w:rsid w:val="006324B5"/>
    <w:rsid w:val="00646D14"/>
    <w:rsid w:val="00647808"/>
    <w:rsid w:val="006542B1"/>
    <w:rsid w:val="00670C89"/>
    <w:rsid w:val="00692930"/>
    <w:rsid w:val="006C1D12"/>
    <w:rsid w:val="006C6EBB"/>
    <w:rsid w:val="006E180C"/>
    <w:rsid w:val="006F6A1B"/>
    <w:rsid w:val="00700397"/>
    <w:rsid w:val="007059B4"/>
    <w:rsid w:val="007239A7"/>
    <w:rsid w:val="00741FE7"/>
    <w:rsid w:val="0074724D"/>
    <w:rsid w:val="00753C7D"/>
    <w:rsid w:val="00774D33"/>
    <w:rsid w:val="0078108E"/>
    <w:rsid w:val="0079276E"/>
    <w:rsid w:val="007B03BD"/>
    <w:rsid w:val="007B2CAA"/>
    <w:rsid w:val="007C7564"/>
    <w:rsid w:val="007E39E5"/>
    <w:rsid w:val="007E6897"/>
    <w:rsid w:val="00803019"/>
    <w:rsid w:val="00807CCD"/>
    <w:rsid w:val="008202D7"/>
    <w:rsid w:val="0082156E"/>
    <w:rsid w:val="0083693D"/>
    <w:rsid w:val="00842A4A"/>
    <w:rsid w:val="008443A5"/>
    <w:rsid w:val="00851458"/>
    <w:rsid w:val="00865666"/>
    <w:rsid w:val="00880970"/>
    <w:rsid w:val="00893FEE"/>
    <w:rsid w:val="008B7F83"/>
    <w:rsid w:val="008C5E2F"/>
    <w:rsid w:val="008D24A8"/>
    <w:rsid w:val="008E6DE0"/>
    <w:rsid w:val="009027B5"/>
    <w:rsid w:val="00986371"/>
    <w:rsid w:val="00992DBA"/>
    <w:rsid w:val="00996F94"/>
    <w:rsid w:val="009A285F"/>
    <w:rsid w:val="009A7788"/>
    <w:rsid w:val="009F66B5"/>
    <w:rsid w:val="009F6BBF"/>
    <w:rsid w:val="00A03E98"/>
    <w:rsid w:val="00A04B39"/>
    <w:rsid w:val="00A30EA6"/>
    <w:rsid w:val="00A43383"/>
    <w:rsid w:val="00A502EA"/>
    <w:rsid w:val="00A6072F"/>
    <w:rsid w:val="00A6146A"/>
    <w:rsid w:val="00A641B8"/>
    <w:rsid w:val="00A72F59"/>
    <w:rsid w:val="00A8461C"/>
    <w:rsid w:val="00A94300"/>
    <w:rsid w:val="00AF010C"/>
    <w:rsid w:val="00B00040"/>
    <w:rsid w:val="00B017CF"/>
    <w:rsid w:val="00B06895"/>
    <w:rsid w:val="00B55A05"/>
    <w:rsid w:val="00B611CC"/>
    <w:rsid w:val="00B623FE"/>
    <w:rsid w:val="00B92274"/>
    <w:rsid w:val="00BA50E6"/>
    <w:rsid w:val="00BB1C83"/>
    <w:rsid w:val="00BB79B5"/>
    <w:rsid w:val="00BD5B09"/>
    <w:rsid w:val="00C166E1"/>
    <w:rsid w:val="00C22A15"/>
    <w:rsid w:val="00C65EA7"/>
    <w:rsid w:val="00C666FD"/>
    <w:rsid w:val="00C67312"/>
    <w:rsid w:val="00CA5951"/>
    <w:rsid w:val="00CA7227"/>
    <w:rsid w:val="00CA7A97"/>
    <w:rsid w:val="00CD5E65"/>
    <w:rsid w:val="00CE392E"/>
    <w:rsid w:val="00CE3BD9"/>
    <w:rsid w:val="00D10C52"/>
    <w:rsid w:val="00D13006"/>
    <w:rsid w:val="00D262EC"/>
    <w:rsid w:val="00D33D0A"/>
    <w:rsid w:val="00D61C20"/>
    <w:rsid w:val="00D63BA0"/>
    <w:rsid w:val="00D75B77"/>
    <w:rsid w:val="00DB08B3"/>
    <w:rsid w:val="00DB2233"/>
    <w:rsid w:val="00E13FDD"/>
    <w:rsid w:val="00E30C47"/>
    <w:rsid w:val="00E5641C"/>
    <w:rsid w:val="00E56942"/>
    <w:rsid w:val="00E70116"/>
    <w:rsid w:val="00E75FC7"/>
    <w:rsid w:val="00E93BBE"/>
    <w:rsid w:val="00E95F90"/>
    <w:rsid w:val="00E96442"/>
    <w:rsid w:val="00EB764D"/>
    <w:rsid w:val="00EC49E5"/>
    <w:rsid w:val="00ED285E"/>
    <w:rsid w:val="00EE51CF"/>
    <w:rsid w:val="00EF7D46"/>
    <w:rsid w:val="00F04A7E"/>
    <w:rsid w:val="00F257F3"/>
    <w:rsid w:val="00F476D8"/>
    <w:rsid w:val="00F67DE3"/>
    <w:rsid w:val="00F75040"/>
    <w:rsid w:val="00F77048"/>
    <w:rsid w:val="00F95B62"/>
    <w:rsid w:val="00FB12AE"/>
    <w:rsid w:val="00FD254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8F50E8"/>
  <w15:docId w15:val="{D2858753-9163-46B9-AEE6-1806B2D2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5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F7670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F7670"/>
    <w:rPr>
      <w:rFonts w:ascii="Arial" w:eastAsia="Arial" w:hAnsi="Arial" w:cs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1B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A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ne.mauduit@dreets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1EB1-8701-41C8-913A-24D0F84A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ESPANA Nathalie (DREETS-OC)</dc:creator>
  <cp:lastModifiedBy>VALTON, Valentine (DREETS-BRET)</cp:lastModifiedBy>
  <cp:revision>2</cp:revision>
  <cp:lastPrinted>2023-02-08T09:09:00Z</cp:lastPrinted>
  <dcterms:created xsi:type="dcterms:W3CDTF">2023-02-15T13:01:00Z</dcterms:created>
  <dcterms:modified xsi:type="dcterms:W3CDTF">2023-02-15T13:01:00Z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