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4534D4" w:rsidTr="004159CB">
        <w:tc>
          <w:tcPr>
            <w:tcW w:w="10348" w:type="dxa"/>
            <w:shd w:val="clear" w:color="auto" w:fill="auto"/>
          </w:tcPr>
          <w:p w:rsidR="004534D4" w:rsidRDefault="004534D4">
            <w:pPr>
              <w:spacing w:after="0" w:line="240" w:lineRule="auto"/>
              <w:jc w:val="center"/>
            </w:pPr>
          </w:p>
          <w:p w:rsidR="004534D4" w:rsidRPr="004159CB" w:rsidRDefault="00B96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59CB">
              <w:rPr>
                <w:sz w:val="24"/>
                <w:szCs w:val="24"/>
              </w:rPr>
              <w:t>Compte-rendu de la réunion</w:t>
            </w:r>
            <w:r w:rsidR="00E103E0">
              <w:rPr>
                <w:sz w:val="24"/>
                <w:szCs w:val="24"/>
              </w:rPr>
              <w:t xml:space="preserve"> </w:t>
            </w:r>
            <w:r w:rsidRPr="004159CB">
              <w:rPr>
                <w:sz w:val="24"/>
                <w:szCs w:val="24"/>
              </w:rPr>
              <w:t xml:space="preserve"> </w:t>
            </w:r>
            <w:proofErr w:type="spellStart"/>
            <w:r w:rsidRPr="004159CB">
              <w:rPr>
                <w:sz w:val="24"/>
                <w:szCs w:val="24"/>
              </w:rPr>
              <w:t>DREETS</w:t>
            </w:r>
            <w:proofErr w:type="spellEnd"/>
            <w:r w:rsidRPr="004159CB">
              <w:rPr>
                <w:sz w:val="24"/>
                <w:szCs w:val="24"/>
              </w:rPr>
              <w:t xml:space="preserve"> DDETS de Bretagne du 12 mai 2022 </w:t>
            </w:r>
          </w:p>
          <w:p w:rsidR="004534D4" w:rsidRPr="004159CB" w:rsidRDefault="00B96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59CB">
              <w:rPr>
                <w:sz w:val="24"/>
                <w:szCs w:val="24"/>
              </w:rPr>
              <w:t>avec les structures organisant des séjours de vacances adaptées organisées (VAO) dans leur région</w:t>
            </w:r>
          </w:p>
          <w:p w:rsidR="004534D4" w:rsidRDefault="004534D4">
            <w:pPr>
              <w:spacing w:after="0" w:line="240" w:lineRule="auto"/>
              <w:jc w:val="center"/>
            </w:pPr>
          </w:p>
        </w:tc>
      </w:tr>
    </w:tbl>
    <w:p w:rsidR="00833C7F" w:rsidRDefault="00833C7F"/>
    <w:p w:rsidR="009F5E94" w:rsidRDefault="001D425F" w:rsidP="00B54839">
      <w:pPr>
        <w:ind w:left="-567"/>
        <w:jc w:val="both"/>
      </w:pPr>
      <w:r>
        <w:t>Outre les 26 organisateurs participant</w:t>
      </w:r>
      <w:r w:rsidR="009F5E94">
        <w:t>s (sur les 51 invité</w:t>
      </w:r>
      <w:r w:rsidR="00E103E0">
        <w:t xml:space="preserve">s) auxquels il faut ajouter 4 qui n’ont pas réussis à se connecter, </w:t>
      </w:r>
      <w:r>
        <w:t xml:space="preserve">étaient représentés </w:t>
      </w:r>
      <w:r w:rsidR="00B960AC">
        <w:t>à</w:t>
      </w:r>
      <w:r w:rsidR="009F5E94">
        <w:t xml:space="preserve"> cette réunion :</w:t>
      </w:r>
    </w:p>
    <w:p w:rsidR="009F5E94" w:rsidRDefault="009F5E94" w:rsidP="00B54839">
      <w:pPr>
        <w:ind w:left="-567"/>
        <w:jc w:val="both"/>
      </w:pPr>
      <w:r>
        <w:t>-</w:t>
      </w:r>
      <w:r w:rsidR="00B960AC">
        <w:t xml:space="preserve"> le </w:t>
      </w:r>
      <w:proofErr w:type="spellStart"/>
      <w:r w:rsidR="00B960AC">
        <w:t>CNLTA</w:t>
      </w:r>
      <w:proofErr w:type="spellEnd"/>
      <w:r w:rsidR="00B960AC">
        <w:t xml:space="preserve"> (conseil national des loisirs et du tourisme adapté :</w:t>
      </w:r>
      <w:hyperlink r:id="rId7">
        <w:r w:rsidR="00B960AC">
          <w:rPr>
            <w:rStyle w:val="LienInternet"/>
          </w:rPr>
          <w:t>https://</w:t>
        </w:r>
        <w:proofErr w:type="spellStart"/>
        <w:r w:rsidR="00B960AC">
          <w:rPr>
            <w:rStyle w:val="LienInternet"/>
          </w:rPr>
          <w:t>www.cnlta.asso.fr</w:t>
        </w:r>
        <w:proofErr w:type="spellEnd"/>
        <w:r w:rsidR="00B960AC">
          <w:rPr>
            <w:rStyle w:val="LienInternet"/>
          </w:rPr>
          <w:t>/</w:t>
        </w:r>
      </w:hyperlink>
      <w:r w:rsidR="00B960AC">
        <w:t xml:space="preserve">), </w:t>
      </w:r>
    </w:p>
    <w:p w:rsidR="009F5E94" w:rsidRDefault="009F5E94" w:rsidP="00B54839">
      <w:pPr>
        <w:ind w:left="-567"/>
        <w:jc w:val="both"/>
      </w:pPr>
      <w:r>
        <w:t xml:space="preserve">- </w:t>
      </w:r>
      <w:r w:rsidR="00B960AC">
        <w:t xml:space="preserve">le COTA ( collectif des organismes de tourisme adapté : </w:t>
      </w:r>
      <w:hyperlink r:id="rId8">
        <w:r w:rsidR="00B960AC">
          <w:rPr>
            <w:rStyle w:val="LienInternet"/>
          </w:rPr>
          <w:t>http://</w:t>
        </w:r>
        <w:proofErr w:type="spellStart"/>
        <w:r w:rsidR="00B960AC">
          <w:rPr>
            <w:rStyle w:val="LienInternet"/>
          </w:rPr>
          <w:t>www.cota.fr</w:t>
        </w:r>
        <w:proofErr w:type="spellEnd"/>
        <w:r w:rsidR="00B960AC">
          <w:rPr>
            <w:rStyle w:val="LienInternet"/>
          </w:rPr>
          <w:t>/qui-sommes-nous/</w:t>
        </w:r>
      </w:hyperlink>
      <w:r w:rsidR="00B960AC">
        <w:t xml:space="preserve">) </w:t>
      </w:r>
    </w:p>
    <w:p w:rsidR="004534D4" w:rsidRDefault="00B960AC" w:rsidP="00B54839">
      <w:pPr>
        <w:ind w:left="-567"/>
        <w:jc w:val="both"/>
      </w:pPr>
      <w:r>
        <w:t>et l’</w:t>
      </w:r>
      <w:proofErr w:type="spellStart"/>
      <w:r>
        <w:t>UNAT</w:t>
      </w:r>
      <w:proofErr w:type="spellEnd"/>
      <w:r>
        <w:t xml:space="preserve"> (Union Nationale des Associations de Tourisme et de Plein Air : </w:t>
      </w:r>
      <w:hyperlink r:id="rId9">
        <w:r>
          <w:rPr>
            <w:rStyle w:val="LienInternet"/>
          </w:rPr>
          <w:t>https://</w:t>
        </w:r>
        <w:proofErr w:type="spellStart"/>
        <w:r>
          <w:rPr>
            <w:rStyle w:val="LienInternet"/>
          </w:rPr>
          <w:t>www.unat.asso.fr</w:t>
        </w:r>
        <w:proofErr w:type="spellEnd"/>
        <w:r>
          <w:rPr>
            <w:rStyle w:val="LienInternet"/>
          </w:rPr>
          <w:t>/</w:t>
        </w:r>
      </w:hyperlink>
      <w:r>
        <w:t>)</w:t>
      </w:r>
    </w:p>
    <w:p w:rsidR="001D425F" w:rsidRDefault="001D425F" w:rsidP="00B54839">
      <w:pPr>
        <w:ind w:left="-567"/>
        <w:jc w:val="both"/>
      </w:pPr>
    </w:p>
    <w:p w:rsidR="004534D4" w:rsidRDefault="009F5E94" w:rsidP="00B54839">
      <w:pPr>
        <w:ind w:left="-567"/>
        <w:jc w:val="both"/>
      </w:pPr>
      <w:r>
        <w:t>Cette réunion, organisée</w:t>
      </w:r>
      <w:r w:rsidR="00E103E0">
        <w:t xml:space="preserve"> en visio-conférence</w:t>
      </w:r>
      <w:r w:rsidR="0028514F">
        <w:t xml:space="preserve">, </w:t>
      </w:r>
      <w:r>
        <w:t xml:space="preserve">par </w:t>
      </w:r>
      <w:r w:rsidR="00B960AC">
        <w:t xml:space="preserve">les services de l’Etat en charge du dispositif VAO en Bretagne, visait la préparation de </w:t>
      </w:r>
      <w:r>
        <w:t xml:space="preserve">la saison estivale 2022 </w:t>
      </w:r>
      <w:r w:rsidR="0028514F">
        <w:t xml:space="preserve">dans la région </w:t>
      </w:r>
      <w:r>
        <w:t xml:space="preserve">avec comme </w:t>
      </w:r>
      <w:r w:rsidR="00B960AC">
        <w:t xml:space="preserve">objectif </w:t>
      </w:r>
      <w:r>
        <w:t>l</w:t>
      </w:r>
      <w:r w:rsidR="00B960AC">
        <w:t>’amélioration de la qualité et de la sécurité des séjours.</w:t>
      </w:r>
    </w:p>
    <w:p w:rsidR="004534D4" w:rsidRDefault="00B960AC" w:rsidP="00B54839">
      <w:pPr>
        <w:ind w:left="-567"/>
        <w:jc w:val="both"/>
      </w:pPr>
      <w:r>
        <w:t>A</w:t>
      </w:r>
      <w:r w:rsidR="00060AEC">
        <w:t>près un rappel de leurs missi</w:t>
      </w:r>
      <w:r w:rsidR="0028514F">
        <w:t>ons au niveau régional comme département</w:t>
      </w:r>
      <w:r w:rsidR="00060AEC">
        <w:t>al</w:t>
      </w:r>
      <w:r>
        <w:t xml:space="preserve">, </w:t>
      </w:r>
      <w:r w:rsidR="00060AEC">
        <w:rPr>
          <w:u w:val="single"/>
        </w:rPr>
        <w:t>l</w:t>
      </w:r>
      <w:r w:rsidRPr="005F1095">
        <w:rPr>
          <w:u w:val="single"/>
        </w:rPr>
        <w:t>es</w:t>
      </w:r>
      <w:r w:rsidR="00060AEC">
        <w:rPr>
          <w:u w:val="single"/>
        </w:rPr>
        <w:t xml:space="preserve"> services de l’Etat</w:t>
      </w:r>
      <w:r w:rsidRPr="005F1095">
        <w:rPr>
          <w:u w:val="single"/>
        </w:rPr>
        <w:t xml:space="preserve"> ont souligné</w:t>
      </w:r>
      <w:r>
        <w:t xml:space="preserve"> : </w:t>
      </w:r>
    </w:p>
    <w:p w:rsidR="004534D4" w:rsidRDefault="00B960AC" w:rsidP="00B54839">
      <w:pPr>
        <w:ind w:left="-567"/>
        <w:jc w:val="both"/>
      </w:pPr>
      <w:r>
        <w:t>- la prise en compte</w:t>
      </w:r>
      <w:r w:rsidR="00B54839">
        <w:t xml:space="preserve">, au fil des années, </w:t>
      </w:r>
      <w:r>
        <w:t>des injonctions et préconisations formulées suite aux contrôles,</w:t>
      </w:r>
    </w:p>
    <w:p w:rsidR="004534D4" w:rsidRDefault="00B960AC" w:rsidP="00B54839">
      <w:pPr>
        <w:ind w:left="-567"/>
        <w:jc w:val="both"/>
      </w:pPr>
      <w:r>
        <w:t>- l</w:t>
      </w:r>
      <w:r w:rsidR="00B54839">
        <w:t>’obligation</w:t>
      </w:r>
      <w:r>
        <w:t xml:space="preserve"> de</w:t>
      </w:r>
      <w:r w:rsidR="0028514F">
        <w:t>s organisateurs de</w:t>
      </w:r>
      <w:r>
        <w:t xml:space="preserve"> les informer de tout changement par rapport aux déclarations (équipe, nombre de vacanciers …),</w:t>
      </w:r>
    </w:p>
    <w:p w:rsidR="004534D4" w:rsidRDefault="00B960AC" w:rsidP="00B54839">
      <w:pPr>
        <w:ind w:left="-567"/>
        <w:jc w:val="both"/>
      </w:pPr>
      <w:r>
        <w:t xml:space="preserve">- l’amélioration des formations du personnel et des modalités d’organisation des convoyages, séjours : élaboration de guides, protocoles, outils qui </w:t>
      </w:r>
      <w:r w:rsidR="00B54839">
        <w:t xml:space="preserve">toutefois </w:t>
      </w:r>
      <w:r>
        <w:t>ne sont pas toujours bien appropriés</w:t>
      </w:r>
      <w:r w:rsidR="00B54839">
        <w:t xml:space="preserve"> par</w:t>
      </w:r>
      <w:r>
        <w:t xml:space="preserve"> </w:t>
      </w:r>
      <w:r w:rsidR="00B54839">
        <w:t>l</w:t>
      </w:r>
      <w:r>
        <w:t xml:space="preserve">es équipes </w:t>
      </w:r>
      <w:r w:rsidR="00B54839">
        <w:t xml:space="preserve">qui ont tendance </w:t>
      </w:r>
      <w:r>
        <w:t>à se référer immédiatement au siège en cas de difficulté</w:t>
      </w:r>
      <w:r w:rsidR="00B54839">
        <w:t>,</w:t>
      </w:r>
      <w:r>
        <w:t xml:space="preserve"> </w:t>
      </w:r>
    </w:p>
    <w:p w:rsidR="004534D4" w:rsidRDefault="00B960AC" w:rsidP="00B54839">
      <w:pPr>
        <w:ind w:left="-567"/>
        <w:jc w:val="both"/>
      </w:pPr>
      <w:r>
        <w:t>- l’organisation de contrôles en interne</w:t>
      </w:r>
      <w:r w:rsidR="00B54839">
        <w:t xml:space="preserve"> dans un souci d’améliorer la qualité des séjours</w:t>
      </w:r>
      <w:r>
        <w:t>,</w:t>
      </w:r>
    </w:p>
    <w:p w:rsidR="00B54839" w:rsidRDefault="00B54839" w:rsidP="00B54839">
      <w:pPr>
        <w:ind w:left="-567"/>
        <w:jc w:val="both"/>
      </w:pPr>
      <w:r>
        <w:t xml:space="preserve">- la </w:t>
      </w:r>
      <w:r w:rsidR="0028514F">
        <w:t xml:space="preserve">nécessaire </w:t>
      </w:r>
      <w:r>
        <w:t>proximité des chambres des animateurs et vacanciers pour des raisons de sécurité</w:t>
      </w:r>
      <w:r w:rsidR="0028514F">
        <w:t>,</w:t>
      </w:r>
    </w:p>
    <w:p w:rsidR="004534D4" w:rsidRDefault="00B960AC" w:rsidP="00B54839">
      <w:pPr>
        <w:ind w:left="-567"/>
        <w:jc w:val="both"/>
      </w:pPr>
      <w:r>
        <w:t xml:space="preserve">- l’importance de la sécurisation </w:t>
      </w:r>
      <w:r w:rsidR="00B54839" w:rsidRPr="00B54839">
        <w:t xml:space="preserve">du stockage et </w:t>
      </w:r>
      <w:r>
        <w:t>de la prise des médicaments (tableau de suivi, distribution à 2…)</w:t>
      </w:r>
      <w:r w:rsidR="0028514F">
        <w:t>,</w:t>
      </w:r>
    </w:p>
    <w:p w:rsidR="004534D4" w:rsidRDefault="00B960AC" w:rsidP="00B54839">
      <w:pPr>
        <w:ind w:left="-567"/>
        <w:jc w:val="both"/>
      </w:pPr>
      <w:r>
        <w:t>- l</w:t>
      </w:r>
      <w:r w:rsidR="0028514F">
        <w:t>e choix</w:t>
      </w:r>
      <w:r>
        <w:t xml:space="preserve"> </w:t>
      </w:r>
      <w:r w:rsidR="0028514F">
        <w:t>d’</w:t>
      </w:r>
      <w:r>
        <w:t xml:space="preserve">un hébergement de qualité, voir un </w:t>
      </w:r>
      <w:proofErr w:type="spellStart"/>
      <w:r>
        <w:t>ERP</w:t>
      </w:r>
      <w:proofErr w:type="spellEnd"/>
      <w:r w:rsidR="00B54839">
        <w:t xml:space="preserve"> (établissement recevant du public)</w:t>
      </w:r>
      <w:r w:rsidR="0028514F">
        <w:t xml:space="preserve"> qui contribue à la qualité du séjour,</w:t>
      </w:r>
    </w:p>
    <w:p w:rsidR="005F1095" w:rsidRDefault="00B960AC" w:rsidP="001D425F">
      <w:pPr>
        <w:ind w:left="-567"/>
        <w:jc w:val="both"/>
      </w:pPr>
      <w:r>
        <w:t>- l’</w:t>
      </w:r>
      <w:r w:rsidR="00556E1E">
        <w:t>intérêt</w:t>
      </w:r>
      <w:r>
        <w:t xml:space="preserve"> du contrôle conjoint </w:t>
      </w:r>
      <w:proofErr w:type="spellStart"/>
      <w:r>
        <w:t>IASS</w:t>
      </w:r>
      <w:proofErr w:type="spellEnd"/>
      <w:r>
        <w:t xml:space="preserve">- </w:t>
      </w:r>
      <w:proofErr w:type="spellStart"/>
      <w:r>
        <w:t>MISP</w:t>
      </w:r>
      <w:proofErr w:type="spellEnd"/>
      <w:r>
        <w:t xml:space="preserve"> (médecin inspecteur de la santé publique) de l’ARS : double vision enrichissante et vérification des traitements médicaux, de l’adaptation des soins et de la prise en charge aux pathologies et handicaps.</w:t>
      </w:r>
    </w:p>
    <w:p w:rsidR="004534D4" w:rsidRDefault="001D425F" w:rsidP="00B54839">
      <w:pPr>
        <w:ind w:left="-567"/>
        <w:jc w:val="both"/>
      </w:pPr>
      <w:r>
        <w:t xml:space="preserve">Les échanges ont </w:t>
      </w:r>
      <w:r w:rsidR="00B960AC">
        <w:t xml:space="preserve">permis de </w:t>
      </w:r>
      <w:r w:rsidR="00B960AC" w:rsidRPr="005F1095">
        <w:rPr>
          <w:u w:val="single"/>
        </w:rPr>
        <w:t>faire remonter au niveau national</w:t>
      </w:r>
      <w:r w:rsidR="00B960AC">
        <w:t xml:space="preserve"> les points suivants :</w:t>
      </w:r>
    </w:p>
    <w:p w:rsidR="004534D4" w:rsidRDefault="00B960AC" w:rsidP="00B54839">
      <w:pPr>
        <w:ind w:left="-567"/>
        <w:jc w:val="both"/>
      </w:pPr>
      <w:r>
        <w:t>- relance</w:t>
      </w:r>
      <w:r w:rsidR="00556E1E">
        <w:t xml:space="preserve"> fortement souhaitée</w:t>
      </w:r>
      <w:r>
        <w:t xml:space="preserve"> des travaux du système d’information pour les déclarations de séjour (</w:t>
      </w:r>
      <w:proofErr w:type="spellStart"/>
      <w:r>
        <w:t>cf</w:t>
      </w:r>
      <w:proofErr w:type="spellEnd"/>
      <w:r>
        <w:t xml:space="preserve"> celui des </w:t>
      </w:r>
      <w:proofErr w:type="spellStart"/>
      <w:r>
        <w:t>ACM</w:t>
      </w:r>
      <w:proofErr w:type="spellEnd"/>
      <w:r>
        <w:t xml:space="preserve"> (accueils collectifs de mineurs) : </w:t>
      </w:r>
      <w:hyperlink r:id="rId10" w:anchor="/" w:history="1">
        <w:r>
          <w:rPr>
            <w:rStyle w:val="LienInternet"/>
          </w:rPr>
          <w:t>https://</w:t>
        </w:r>
        <w:proofErr w:type="spellStart"/>
        <w:r>
          <w:rPr>
            <w:rStyle w:val="LienInternet"/>
          </w:rPr>
          <w:t>tam.extranet.jeunesse-sports.gouv.fr</w:t>
        </w:r>
        <w:proofErr w:type="spellEnd"/>
        <w:r>
          <w:rPr>
            <w:rStyle w:val="LienInternet"/>
          </w:rPr>
          <w:t>/#/</w:t>
        </w:r>
      </w:hyperlink>
      <w:r>
        <w:t xml:space="preserve">) et la gestion des demandes d’agréments, </w:t>
      </w:r>
    </w:p>
    <w:p w:rsidR="005F1095" w:rsidRDefault="005F1095" w:rsidP="00B54839">
      <w:pPr>
        <w:ind w:left="-567"/>
        <w:jc w:val="both"/>
      </w:pPr>
    </w:p>
    <w:p w:rsidR="0028514F" w:rsidRDefault="0028514F" w:rsidP="00B54839">
      <w:pPr>
        <w:ind w:left="-567"/>
        <w:jc w:val="both"/>
      </w:pPr>
    </w:p>
    <w:p w:rsidR="0028514F" w:rsidRDefault="0028514F" w:rsidP="00B54839">
      <w:pPr>
        <w:ind w:left="-567"/>
        <w:jc w:val="both"/>
      </w:pPr>
    </w:p>
    <w:p w:rsidR="004534D4" w:rsidRDefault="00B960AC" w:rsidP="00B54839">
      <w:pPr>
        <w:ind w:left="-567"/>
        <w:jc w:val="both"/>
      </w:pPr>
      <w:r>
        <w:t>- élaboration</w:t>
      </w:r>
      <w:r w:rsidR="00556E1E">
        <w:t xml:space="preserve"> nécessaire</w:t>
      </w:r>
      <w:r>
        <w:t xml:space="preserve"> d’outils de contrôle nationaux  : grille, guide de contrôle (cadre juridique,  modalités et suites) pour uniformiser les </w:t>
      </w:r>
      <w:r w:rsidR="00B54839">
        <w:t>pratiques</w:t>
      </w:r>
      <w:r w:rsidR="00B1609A" w:rsidRPr="00B1609A">
        <w:t xml:space="preserve"> </w:t>
      </w:r>
      <w:r w:rsidR="00B1609A">
        <w:t xml:space="preserve">(ex : </w:t>
      </w:r>
      <w:r w:rsidR="00B1609A" w:rsidRPr="00B1609A">
        <w:t xml:space="preserve">certaines DDETS </w:t>
      </w:r>
      <w:r w:rsidR="00B1609A">
        <w:t>« </w:t>
      </w:r>
      <w:r w:rsidR="00B1609A" w:rsidRPr="00B1609A">
        <w:t xml:space="preserve">demandent les échantillons de nourriture, une couverture de survie </w:t>
      </w:r>
      <w:r w:rsidR="00B1609A">
        <w:t xml:space="preserve">dans </w:t>
      </w:r>
      <w:r w:rsidR="00B1609A" w:rsidRPr="00B1609A">
        <w:t xml:space="preserve">la trousse </w:t>
      </w:r>
      <w:r w:rsidR="00B1609A">
        <w:t xml:space="preserve">de secours </w:t>
      </w:r>
      <w:r w:rsidR="00B1609A" w:rsidRPr="00B1609A">
        <w:t xml:space="preserve">d'autres pas" ou </w:t>
      </w:r>
      <w:r w:rsidR="0028514F">
        <w:t xml:space="preserve">ont des exigences </w:t>
      </w:r>
      <w:r w:rsidR="00B1609A" w:rsidRPr="00B1609A">
        <w:t>sur "la quantité des échantillons de nourriture"</w:t>
      </w:r>
      <w:r w:rsidR="00B1609A">
        <w:t xml:space="preserve">) </w:t>
      </w:r>
      <w:r>
        <w:t xml:space="preserve">et éviter que des structures n’organisent plus de séjours dans un département </w:t>
      </w:r>
      <w:r w:rsidR="0028514F">
        <w:t xml:space="preserve">où </w:t>
      </w:r>
      <w:r>
        <w:t>les contrôles</w:t>
      </w:r>
      <w:r w:rsidR="00B54839">
        <w:t xml:space="preserve"> </w:t>
      </w:r>
      <w:r w:rsidR="002157AC">
        <w:t xml:space="preserve">DDETS </w:t>
      </w:r>
      <w:r w:rsidR="00B54839">
        <w:t>sont</w:t>
      </w:r>
      <w:r>
        <w:t xml:space="preserve"> </w:t>
      </w:r>
      <w:r w:rsidR="002157AC">
        <w:t>jugés « coercitifs »</w:t>
      </w:r>
      <w:r w:rsidR="00060AEC">
        <w:t>. D</w:t>
      </w:r>
      <w:r>
        <w:t xml:space="preserve">ocuments </w:t>
      </w:r>
      <w:r w:rsidR="00060AEC">
        <w:t xml:space="preserve">auxquels les organisateurs voudraient </w:t>
      </w:r>
      <w:r>
        <w:t>acc</w:t>
      </w:r>
      <w:r w:rsidR="0028514F">
        <w:t xml:space="preserve">éder pour mieux </w:t>
      </w:r>
      <w:r>
        <w:t xml:space="preserve">préparer </w:t>
      </w:r>
      <w:r w:rsidR="0028514F">
        <w:t xml:space="preserve">leur personnel </w:t>
      </w:r>
      <w:r>
        <w:t>aux attentes des services de l’Etat.</w:t>
      </w:r>
    </w:p>
    <w:p w:rsidR="0028514F" w:rsidRDefault="00B960AC" w:rsidP="0028514F">
      <w:pPr>
        <w:ind w:left="-567"/>
        <w:jc w:val="both"/>
      </w:pPr>
      <w:r>
        <w:t xml:space="preserve">-  sensibilisation </w:t>
      </w:r>
      <w:r w:rsidR="0028514F">
        <w:t xml:space="preserve">ministérielle </w:t>
      </w:r>
      <w:r>
        <w:t>des acteurs et actifs aux besoins de recrutement pour les séjours VAO  : campagnes nationales (affiches, site internet</w:t>
      </w:r>
      <w:r w:rsidR="002157AC">
        <w:t xml:space="preserve"> ministériel</w:t>
      </w:r>
      <w:r>
        <w:t xml:space="preserve">, pôle emploi…), </w:t>
      </w:r>
      <w:r w:rsidR="002157AC">
        <w:t xml:space="preserve">démarche auprès des </w:t>
      </w:r>
      <w:r>
        <w:t xml:space="preserve">instituts de formation (lycées, établissements de </w:t>
      </w:r>
      <w:r w:rsidRPr="00556E1E">
        <w:t>tr</w:t>
      </w:r>
      <w:r w:rsidR="002157AC">
        <w:t xml:space="preserve">availleurs sociaux, </w:t>
      </w:r>
      <w:proofErr w:type="spellStart"/>
      <w:r w:rsidR="002157AC">
        <w:t>IFSI</w:t>
      </w:r>
      <w:proofErr w:type="spellEnd"/>
      <w:r w:rsidR="002157AC">
        <w:t xml:space="preserve">, …), des </w:t>
      </w:r>
      <w:r>
        <w:t>autres réseaux (jeunesse, sport …)</w:t>
      </w:r>
      <w:r w:rsidR="0028514F">
        <w:t> …</w:t>
      </w:r>
    </w:p>
    <w:p w:rsidR="004534D4" w:rsidRDefault="002157AC" w:rsidP="00B54839">
      <w:pPr>
        <w:ind w:left="-567"/>
        <w:jc w:val="both"/>
      </w:pPr>
      <w:r>
        <w:t xml:space="preserve">- </w:t>
      </w:r>
      <w:r w:rsidR="00060AEC">
        <w:t>« </w:t>
      </w:r>
      <w:proofErr w:type="spellStart"/>
      <w:r w:rsidR="00B960AC">
        <w:t>ghosting</w:t>
      </w:r>
      <w:proofErr w:type="spellEnd"/>
      <w:r w:rsidR="00060AEC">
        <w:t> »</w:t>
      </w:r>
      <w:r w:rsidR="00B960AC">
        <w:t xml:space="preserve"> </w:t>
      </w:r>
      <w:r>
        <w:t xml:space="preserve">du personnel </w:t>
      </w:r>
      <w:r w:rsidR="00B960AC">
        <w:t>qui peut aller jusqu’à provoquer l’annulation</w:t>
      </w:r>
      <w:r>
        <w:t>,</w:t>
      </w:r>
      <w:r w:rsidR="00B960AC">
        <w:t xml:space="preserve"> au dernier moment</w:t>
      </w:r>
      <w:r>
        <w:t>,</w:t>
      </w:r>
      <w:r w:rsidR="00B960AC">
        <w:t xml:space="preserve"> des séjours, </w:t>
      </w:r>
    </w:p>
    <w:p w:rsidR="004534D4" w:rsidRDefault="00B960AC" w:rsidP="00B54839">
      <w:pPr>
        <w:ind w:left="-567"/>
        <w:jc w:val="both"/>
      </w:pPr>
      <w:r>
        <w:t xml:space="preserve">- protocole sanitaire </w:t>
      </w:r>
      <w:proofErr w:type="spellStart"/>
      <w:r>
        <w:t>COVID</w:t>
      </w:r>
      <w:proofErr w:type="spellEnd"/>
      <w:r>
        <w:t xml:space="preserve"> 19</w:t>
      </w:r>
      <w:r w:rsidR="00556E1E">
        <w:t xml:space="preserve"> pour les</w:t>
      </w:r>
      <w:r w:rsidR="00556E1E" w:rsidRPr="00556E1E">
        <w:t xml:space="preserve"> VAO</w:t>
      </w:r>
      <w:r w:rsidR="00556E1E">
        <w:t xml:space="preserve"> (le dernier paru le 29 mars 2022)</w:t>
      </w:r>
      <w:r>
        <w:t xml:space="preserve"> </w:t>
      </w:r>
      <w:r w:rsidR="002C4439">
        <w:t xml:space="preserve">insatisfaisant </w:t>
      </w:r>
      <w:r>
        <w:t>:</w:t>
      </w:r>
    </w:p>
    <w:p w:rsidR="00556E1E" w:rsidRDefault="00B960AC" w:rsidP="00B54839">
      <w:pPr>
        <w:ind w:left="-567"/>
        <w:jc w:val="both"/>
      </w:pPr>
      <w:r>
        <w:tab/>
      </w:r>
      <w:r w:rsidR="002157AC">
        <w:tab/>
      </w:r>
      <w:r>
        <w:t>-</w:t>
      </w:r>
      <w:r w:rsidR="002C4439">
        <w:t xml:space="preserve">peu synthétique, il </w:t>
      </w:r>
      <w:r w:rsidR="00556E1E">
        <w:t xml:space="preserve">ne prend pas en compte les </w:t>
      </w:r>
      <w:r>
        <w:t xml:space="preserve">annonces ministérielles du 14 mars (allégement des mesures barrières) et du 9 mai (fin du masque dans les transports), </w:t>
      </w:r>
    </w:p>
    <w:p w:rsidR="004534D4" w:rsidRDefault="00556E1E" w:rsidP="002157AC">
      <w:pPr>
        <w:ind w:left="-567" w:firstLine="1275"/>
        <w:jc w:val="both"/>
      </w:pPr>
      <w:r>
        <w:t xml:space="preserve">- ne correspond pas à celui appliqué dans les </w:t>
      </w:r>
      <w:r w:rsidR="00B960AC">
        <w:t xml:space="preserve">établissements d’où proviennent les vacanciers (foyers, FAM, MAS) et </w:t>
      </w:r>
      <w:r>
        <w:t xml:space="preserve">dans </w:t>
      </w:r>
      <w:r w:rsidR="00B960AC">
        <w:t>la société (</w:t>
      </w:r>
      <w:r>
        <w:t xml:space="preserve">d’où le </w:t>
      </w:r>
      <w:r w:rsidR="00B960AC">
        <w:t xml:space="preserve">risque de stigmatisation dans les campings, restaurants …), </w:t>
      </w:r>
    </w:p>
    <w:p w:rsidR="004534D4" w:rsidRDefault="00B960AC" w:rsidP="002157AC">
      <w:pPr>
        <w:ind w:left="-567" w:firstLine="1275"/>
        <w:jc w:val="both"/>
      </w:pPr>
      <w:r>
        <w:t xml:space="preserve">- </w:t>
      </w:r>
      <w:r w:rsidR="002C4439">
        <w:t xml:space="preserve">et peut générer des risque d’agressions, </w:t>
      </w:r>
      <w:r w:rsidR="00060AEC">
        <w:t xml:space="preserve">notamment sexuelles, </w:t>
      </w:r>
      <w:r w:rsidRPr="00556E1E">
        <w:t>des vacanciers à l’isolement</w:t>
      </w:r>
    </w:p>
    <w:p w:rsidR="0028514F" w:rsidRDefault="00B960AC" w:rsidP="00B54839">
      <w:pPr>
        <w:ind w:left="-567"/>
        <w:jc w:val="both"/>
      </w:pPr>
      <w:r>
        <w:t>- absence de disponibilité des professionnel</w:t>
      </w:r>
      <w:r w:rsidRPr="00556E1E">
        <w:t>s paramédicaux locaux (congés d’été, déserts médicaux, IDE ne souhaitant pas faire des toilettes) qui limite l’accueil de vacanciers porteurs d’handicaps moteurs ou lourdem</w:t>
      </w:r>
      <w:r w:rsidR="002157AC">
        <w:t xml:space="preserve">ent handicapés. </w:t>
      </w:r>
    </w:p>
    <w:p w:rsidR="004534D4" w:rsidRDefault="0028514F" w:rsidP="00B54839">
      <w:pPr>
        <w:ind w:left="-567"/>
        <w:jc w:val="both"/>
      </w:pPr>
      <w:r>
        <w:t xml:space="preserve">- </w:t>
      </w:r>
      <w:r w:rsidR="00B960AC" w:rsidRPr="00556E1E">
        <w:t xml:space="preserve">établissements </w:t>
      </w:r>
      <w:r>
        <w:t>qui faussent</w:t>
      </w:r>
      <w:r w:rsidR="00B960AC" w:rsidRPr="00556E1E">
        <w:t xml:space="preserve"> les fiches d’inscription </w:t>
      </w:r>
      <w:r w:rsidR="002157AC">
        <w:t xml:space="preserve">de leurs usagers </w:t>
      </w:r>
      <w:r w:rsidR="00B960AC" w:rsidRPr="00556E1E">
        <w:t xml:space="preserve">pour pouvoir </w:t>
      </w:r>
      <w:r w:rsidR="002157AC">
        <w:t xml:space="preserve">les </w:t>
      </w:r>
      <w:r w:rsidR="00B960AC" w:rsidRPr="00556E1E">
        <w:t xml:space="preserve">« placer » </w:t>
      </w:r>
      <w:r w:rsidR="00060AEC">
        <w:t xml:space="preserve">lors de leur fermeture l’été </w:t>
      </w:r>
      <w:r w:rsidR="00B960AC" w:rsidRPr="00556E1E">
        <w:t xml:space="preserve">(ce qui entraine la désorganisation du séjour et la mise en danger de </w:t>
      </w:r>
      <w:r>
        <w:t xml:space="preserve">l’adulte handicapé, de </w:t>
      </w:r>
      <w:r w:rsidR="00B960AC" w:rsidRPr="00556E1E">
        <w:t>l’équipe et du groupe).</w:t>
      </w:r>
      <w:r w:rsidR="00B960AC">
        <w:t xml:space="preserve"> </w:t>
      </w:r>
    </w:p>
    <w:p w:rsidR="00060AEC" w:rsidRDefault="00B960AC" w:rsidP="00060AEC">
      <w:pPr>
        <w:ind w:left="-567"/>
        <w:jc w:val="both"/>
      </w:pPr>
      <w:r>
        <w:t>- refus des établissements psychiatriques de soigner les vacanciers en décompensation, au motif qu’ils ne résident pas dans l</w:t>
      </w:r>
      <w:bookmarkStart w:id="0" w:name="_GoBack"/>
      <w:bookmarkEnd w:id="0"/>
      <w:r>
        <w:t xml:space="preserve">e département. </w:t>
      </w:r>
    </w:p>
    <w:sectPr w:rsidR="00060AEC" w:rsidSect="00B54839">
      <w:footerReference w:type="default" r:id="rId11"/>
      <w:pgSz w:w="11906" w:h="16838"/>
      <w:pgMar w:top="1417" w:right="70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0AC" w:rsidRDefault="00B960AC">
      <w:pPr>
        <w:spacing w:after="0" w:line="240" w:lineRule="auto"/>
      </w:pPr>
      <w:r>
        <w:separator/>
      </w:r>
    </w:p>
  </w:endnote>
  <w:endnote w:type="continuationSeparator" w:id="0">
    <w:p w:rsidR="00B960AC" w:rsidRDefault="00B96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4D4" w:rsidRDefault="00B960AC">
    <w:pPr>
      <w:pStyle w:val="Pieddepage"/>
      <w:pBdr>
        <w:top w:val="thinThickSmallGap" w:sz="24" w:space="1" w:color="622423"/>
      </w:pBdr>
    </w:pPr>
    <w:r>
      <w:rPr>
        <w:rFonts w:asciiTheme="majorHAnsi" w:eastAsiaTheme="majorEastAsia" w:hAnsiTheme="majorHAnsi" w:cstheme="majorBidi"/>
        <w:i/>
        <w:sz w:val="18"/>
        <w:szCs w:val="18"/>
      </w:rPr>
      <w:t>MRIICE Bretagne-réunion VAO 12 mai 2022</w:t>
    </w:r>
    <w:r>
      <w:rPr>
        <w:rFonts w:asciiTheme="majorHAnsi" w:eastAsiaTheme="majorEastAsia" w:hAnsiTheme="majorHAnsi" w:cstheme="majorBidi"/>
        <w:i/>
        <w:sz w:val="18"/>
        <w:szCs w:val="18"/>
      </w:rPr>
      <w:tab/>
      <w:t xml:space="preserve">Page </w:t>
    </w:r>
    <w:r>
      <w:rPr>
        <w:rFonts w:asciiTheme="majorHAnsi" w:eastAsiaTheme="majorEastAsia" w:hAnsiTheme="majorHAnsi" w:cstheme="majorBidi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>PAGE</w:instrText>
    </w:r>
    <w:r>
      <w:rPr>
        <w:rFonts w:ascii="Cambria" w:hAnsi="Cambria"/>
        <w:i/>
        <w:sz w:val="18"/>
        <w:szCs w:val="18"/>
      </w:rPr>
      <w:fldChar w:fldCharType="separate"/>
    </w:r>
    <w:r w:rsidR="0028514F">
      <w:rPr>
        <w:rFonts w:ascii="Cambria" w:hAnsi="Cambria"/>
        <w:i/>
        <w:noProof/>
        <w:sz w:val="18"/>
        <w:szCs w:val="18"/>
      </w:rPr>
      <w:t>2</w:t>
    </w:r>
    <w:r>
      <w:rPr>
        <w:rFonts w:ascii="Cambria" w:hAnsi="Cambria"/>
        <w:i/>
        <w:sz w:val="18"/>
        <w:szCs w:val="18"/>
      </w:rPr>
      <w:fldChar w:fldCharType="end"/>
    </w:r>
  </w:p>
  <w:p w:rsidR="004534D4" w:rsidRDefault="004534D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0AC" w:rsidRDefault="00B960AC">
      <w:pPr>
        <w:spacing w:after="0" w:line="240" w:lineRule="auto"/>
      </w:pPr>
      <w:r>
        <w:separator/>
      </w:r>
    </w:p>
  </w:footnote>
  <w:footnote w:type="continuationSeparator" w:id="0">
    <w:p w:rsidR="00B960AC" w:rsidRDefault="00B960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4D4"/>
    <w:rsid w:val="00060AEC"/>
    <w:rsid w:val="001D425F"/>
    <w:rsid w:val="002157AC"/>
    <w:rsid w:val="0028514F"/>
    <w:rsid w:val="002C4439"/>
    <w:rsid w:val="004159CB"/>
    <w:rsid w:val="004534D4"/>
    <w:rsid w:val="00556E1E"/>
    <w:rsid w:val="005F1095"/>
    <w:rsid w:val="006761CF"/>
    <w:rsid w:val="00833C7F"/>
    <w:rsid w:val="009B5625"/>
    <w:rsid w:val="009F5E94"/>
    <w:rsid w:val="00AB179E"/>
    <w:rsid w:val="00B1609A"/>
    <w:rsid w:val="00B54839"/>
    <w:rsid w:val="00B960AC"/>
    <w:rsid w:val="00E1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356B39"/>
  </w:style>
  <w:style w:type="character" w:customStyle="1" w:styleId="PieddepageCar">
    <w:name w:val="Pied de page Car"/>
    <w:basedOn w:val="Policepardfaut"/>
    <w:link w:val="Pieddepage"/>
    <w:uiPriority w:val="99"/>
    <w:qFormat/>
    <w:rsid w:val="00356B39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56B39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943EAC"/>
    <w:rPr>
      <w:color w:val="0000FF" w:themeColor="hyperlink"/>
      <w:u w:val="single"/>
    </w:rPr>
  </w:style>
  <w:style w:type="character" w:customStyle="1" w:styleId="ListLabel1">
    <w:name w:val="ListLabel 1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-tte">
    <w:name w:val="header"/>
    <w:basedOn w:val="Normal"/>
    <w:uiPriority w:val="99"/>
    <w:unhideWhenUsed/>
    <w:rsid w:val="00356B39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356B39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56B3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25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356B39"/>
  </w:style>
  <w:style w:type="character" w:customStyle="1" w:styleId="PieddepageCar">
    <w:name w:val="Pied de page Car"/>
    <w:basedOn w:val="Policepardfaut"/>
    <w:link w:val="Pieddepage"/>
    <w:uiPriority w:val="99"/>
    <w:qFormat/>
    <w:rsid w:val="00356B39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56B39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943EAC"/>
    <w:rPr>
      <w:color w:val="0000FF" w:themeColor="hyperlink"/>
      <w:u w:val="single"/>
    </w:rPr>
  </w:style>
  <w:style w:type="character" w:customStyle="1" w:styleId="ListLabel1">
    <w:name w:val="ListLabel 1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-tte">
    <w:name w:val="header"/>
    <w:basedOn w:val="Normal"/>
    <w:uiPriority w:val="99"/>
    <w:unhideWhenUsed/>
    <w:rsid w:val="00356B39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356B39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56B3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25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ta.fr/qui-sommes-nou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nlta.asso.fr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tam.extranet.jeunesse-sports.gouv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at.asso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764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ETIENNE-JACQUET Christylla (DR-BRET)</dc:creator>
  <cp:lastModifiedBy>ETIENNE-JACQUET Christylla (DR-BRET)</cp:lastModifiedBy>
  <cp:revision>15</cp:revision>
  <cp:lastPrinted>2022-05-17T13:00:00Z</cp:lastPrinted>
  <dcterms:created xsi:type="dcterms:W3CDTF">2022-05-17T12:39:00Z</dcterms:created>
  <dcterms:modified xsi:type="dcterms:W3CDTF">2022-05-18T12:27:00Z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Ministères Chargés des Affaires Sociales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